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harts/chart10.xml" ContentType="application/vnd.openxmlformats-officedocument.drawingml.chart+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15.xml" ContentType="application/vnd.openxmlformats-officedocument.drawingml.chart+xml"/>
  <Override PartName="/word/charts/chart16.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3180" w:rsidRPr="00096041" w:rsidRDefault="00523180" w:rsidP="00523180">
      <w:pPr>
        <w:tabs>
          <w:tab w:val="left" w:pos="0"/>
          <w:tab w:val="left" w:pos="3119"/>
        </w:tabs>
        <w:jc w:val="right"/>
        <w:rPr>
          <w:rFonts w:cs="Arial"/>
          <w:b/>
          <w:sz w:val="24"/>
          <w:szCs w:val="24"/>
        </w:rPr>
      </w:pPr>
      <w:r w:rsidRPr="00096041">
        <w:rPr>
          <w:rFonts w:cs="Arial"/>
          <w:b/>
          <w:noProof/>
          <w:sz w:val="24"/>
          <w:szCs w:val="24"/>
          <w:lang w:eastAsia="en-GB"/>
        </w:rPr>
        <w:drawing>
          <wp:inline distT="0" distB="0" distL="0" distR="0">
            <wp:extent cx="1189355" cy="1141095"/>
            <wp:effectExtent l="0" t="0" r="0" b="0"/>
            <wp:docPr id="8" name="Picture 0" descr="ue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uel-logo.png"/>
                    <pic:cNvPicPr>
                      <a:picLocks noChangeAspect="1" noChangeArrowheads="1"/>
                    </pic:cNvPicPr>
                  </pic:nvPicPr>
                  <pic:blipFill>
                    <a:blip r:embed="rId8" cstate="print"/>
                    <a:srcRect/>
                    <a:stretch>
                      <a:fillRect/>
                    </a:stretch>
                  </pic:blipFill>
                  <pic:spPr bwMode="auto">
                    <a:xfrm>
                      <a:off x="0" y="0"/>
                      <a:ext cx="1189355" cy="1141095"/>
                    </a:xfrm>
                    <a:prstGeom prst="rect">
                      <a:avLst/>
                    </a:prstGeom>
                    <a:noFill/>
                    <a:ln w="9525">
                      <a:noFill/>
                      <a:miter lim="800000"/>
                      <a:headEnd/>
                      <a:tailEnd/>
                    </a:ln>
                  </pic:spPr>
                </pic:pic>
              </a:graphicData>
            </a:graphic>
          </wp:inline>
        </w:drawing>
      </w:r>
    </w:p>
    <w:p w:rsidR="00523180" w:rsidRPr="00096041" w:rsidRDefault="00523180" w:rsidP="00523180">
      <w:pPr>
        <w:tabs>
          <w:tab w:val="left" w:pos="0"/>
          <w:tab w:val="left" w:pos="3119"/>
        </w:tabs>
        <w:spacing w:after="0" w:line="240" w:lineRule="auto"/>
        <w:rPr>
          <w:rFonts w:cs="Arial"/>
          <w:b/>
          <w:sz w:val="24"/>
          <w:szCs w:val="24"/>
        </w:rPr>
      </w:pPr>
      <w:r w:rsidRPr="00096041">
        <w:rPr>
          <w:rFonts w:cs="Arial"/>
          <w:b/>
          <w:sz w:val="24"/>
          <w:szCs w:val="24"/>
        </w:rPr>
        <w:t xml:space="preserve">ACADEMIC BOARD </w:t>
      </w:r>
    </w:p>
    <w:p w:rsidR="00523180" w:rsidRPr="00096041" w:rsidRDefault="00523180" w:rsidP="00523180">
      <w:pPr>
        <w:tabs>
          <w:tab w:val="left" w:pos="0"/>
        </w:tabs>
        <w:spacing w:after="0" w:line="240" w:lineRule="auto"/>
        <w:rPr>
          <w:rFonts w:cs="Arial"/>
          <w:b/>
          <w:sz w:val="24"/>
          <w:szCs w:val="24"/>
        </w:rPr>
      </w:pPr>
    </w:p>
    <w:p w:rsidR="00523180" w:rsidRPr="00096041" w:rsidRDefault="00523180" w:rsidP="00523180">
      <w:pPr>
        <w:spacing w:after="0" w:line="240" w:lineRule="auto"/>
        <w:jc w:val="both"/>
        <w:rPr>
          <w:rFonts w:cs="Arial"/>
          <w:bCs/>
          <w:sz w:val="24"/>
          <w:szCs w:val="24"/>
        </w:rPr>
      </w:pPr>
    </w:p>
    <w:p w:rsidR="00523180" w:rsidRPr="00096041" w:rsidRDefault="00523180" w:rsidP="00523180">
      <w:pPr>
        <w:spacing w:after="0" w:line="240" w:lineRule="auto"/>
        <w:jc w:val="both"/>
        <w:rPr>
          <w:rFonts w:cs="Arial"/>
          <w:b/>
          <w:bCs/>
          <w:sz w:val="24"/>
          <w:szCs w:val="24"/>
        </w:rPr>
      </w:pPr>
      <w:r w:rsidRPr="00096041">
        <w:rPr>
          <w:rFonts w:cs="Arial"/>
          <w:b/>
          <w:bCs/>
          <w:sz w:val="24"/>
          <w:szCs w:val="24"/>
        </w:rPr>
        <w:t>ANNUAL REPORT ON EXTENUATING CIRCUMSTANCES 201</w:t>
      </w:r>
      <w:r w:rsidR="00DF6F55" w:rsidRPr="00096041">
        <w:rPr>
          <w:rFonts w:cs="Arial"/>
          <w:b/>
          <w:bCs/>
          <w:sz w:val="24"/>
          <w:szCs w:val="24"/>
        </w:rPr>
        <w:t>2</w:t>
      </w:r>
      <w:r w:rsidRPr="00096041">
        <w:rPr>
          <w:rFonts w:cs="Arial"/>
          <w:b/>
          <w:bCs/>
          <w:sz w:val="24"/>
          <w:szCs w:val="24"/>
        </w:rPr>
        <w:t>-1</w:t>
      </w:r>
      <w:r w:rsidR="00DF6F55" w:rsidRPr="00096041">
        <w:rPr>
          <w:rFonts w:cs="Arial"/>
          <w:b/>
          <w:bCs/>
          <w:sz w:val="24"/>
          <w:szCs w:val="24"/>
        </w:rPr>
        <w:t>3</w:t>
      </w:r>
    </w:p>
    <w:p w:rsidR="00523180" w:rsidRPr="00096041" w:rsidRDefault="00523180" w:rsidP="00523180">
      <w:pPr>
        <w:spacing w:after="0" w:line="240" w:lineRule="auto"/>
        <w:jc w:val="both"/>
        <w:rPr>
          <w:rFonts w:cs="Arial"/>
          <w:bCs/>
          <w:sz w:val="24"/>
          <w:szCs w:val="24"/>
        </w:rPr>
      </w:pPr>
    </w:p>
    <w:p w:rsidR="00523180" w:rsidRPr="00096041" w:rsidRDefault="00523180" w:rsidP="00523180">
      <w:pPr>
        <w:tabs>
          <w:tab w:val="left" w:pos="3240"/>
        </w:tabs>
        <w:spacing w:after="0" w:line="240" w:lineRule="auto"/>
        <w:jc w:val="both"/>
        <w:rPr>
          <w:rFonts w:cs="Arial"/>
          <w:bCs/>
          <w:sz w:val="24"/>
          <w:szCs w:val="24"/>
        </w:rPr>
      </w:pPr>
      <w:r w:rsidRPr="00096041">
        <w:rPr>
          <w:rFonts w:cs="Arial"/>
          <w:b/>
          <w:bCs/>
          <w:sz w:val="24"/>
          <w:szCs w:val="24"/>
        </w:rPr>
        <w:t>This paper is proposed by:</w:t>
      </w:r>
      <w:r w:rsidRPr="00096041">
        <w:rPr>
          <w:rFonts w:cs="Arial"/>
          <w:b/>
          <w:bCs/>
          <w:sz w:val="24"/>
          <w:szCs w:val="24"/>
        </w:rPr>
        <w:tab/>
      </w:r>
      <w:r w:rsidR="00F51772" w:rsidRPr="00096041">
        <w:rPr>
          <w:rFonts w:cs="Arial"/>
          <w:bCs/>
          <w:sz w:val="24"/>
          <w:szCs w:val="24"/>
        </w:rPr>
        <w:t xml:space="preserve">Earle Abrahamson </w:t>
      </w:r>
    </w:p>
    <w:p w:rsidR="00523180" w:rsidRPr="00096041" w:rsidRDefault="00523180" w:rsidP="00523180">
      <w:pPr>
        <w:tabs>
          <w:tab w:val="left" w:pos="3240"/>
        </w:tabs>
        <w:spacing w:after="0" w:line="240" w:lineRule="auto"/>
        <w:jc w:val="both"/>
        <w:rPr>
          <w:rFonts w:cs="Arial"/>
          <w:bCs/>
          <w:sz w:val="24"/>
          <w:szCs w:val="24"/>
        </w:rPr>
      </w:pPr>
      <w:r w:rsidRPr="00096041">
        <w:rPr>
          <w:rFonts w:cs="Arial"/>
          <w:bCs/>
          <w:sz w:val="24"/>
          <w:szCs w:val="24"/>
        </w:rPr>
        <w:tab/>
        <w:t>Quality Assurance Officer</w:t>
      </w:r>
      <w:r w:rsidR="00F51772" w:rsidRPr="00096041">
        <w:rPr>
          <w:rFonts w:cs="Arial"/>
          <w:bCs/>
          <w:sz w:val="24"/>
          <w:szCs w:val="24"/>
        </w:rPr>
        <w:t>s</w:t>
      </w:r>
    </w:p>
    <w:p w:rsidR="00523180" w:rsidRPr="00096041" w:rsidRDefault="005718E2" w:rsidP="00523180">
      <w:pPr>
        <w:tabs>
          <w:tab w:val="left" w:pos="3240"/>
        </w:tabs>
        <w:spacing w:after="0" w:line="240" w:lineRule="auto"/>
        <w:jc w:val="both"/>
        <w:rPr>
          <w:rFonts w:cs="Arial"/>
          <w:bCs/>
          <w:sz w:val="24"/>
          <w:szCs w:val="24"/>
        </w:rPr>
      </w:pPr>
      <w:r w:rsidRPr="00096041">
        <w:rPr>
          <w:rFonts w:cs="Arial"/>
          <w:bCs/>
          <w:sz w:val="24"/>
          <w:szCs w:val="24"/>
        </w:rPr>
        <w:tab/>
        <w:t xml:space="preserve">Tel. 020 8223 </w:t>
      </w:r>
      <w:r w:rsidR="00523180" w:rsidRPr="00096041">
        <w:rPr>
          <w:rFonts w:cs="Arial"/>
          <w:bCs/>
          <w:sz w:val="24"/>
          <w:szCs w:val="24"/>
        </w:rPr>
        <w:t>2</w:t>
      </w:r>
      <w:r w:rsidR="00A4657F" w:rsidRPr="00096041">
        <w:rPr>
          <w:rFonts w:cs="Arial"/>
          <w:bCs/>
          <w:sz w:val="24"/>
          <w:szCs w:val="24"/>
        </w:rPr>
        <w:t>712</w:t>
      </w:r>
    </w:p>
    <w:p w:rsidR="00523180" w:rsidRPr="00096041" w:rsidRDefault="00523180" w:rsidP="00523180">
      <w:pPr>
        <w:tabs>
          <w:tab w:val="left" w:pos="3240"/>
        </w:tabs>
        <w:spacing w:after="0" w:line="240" w:lineRule="auto"/>
        <w:jc w:val="both"/>
        <w:rPr>
          <w:rFonts w:cs="Arial"/>
          <w:bCs/>
          <w:sz w:val="24"/>
          <w:szCs w:val="24"/>
        </w:rPr>
      </w:pPr>
      <w:r w:rsidRPr="00096041">
        <w:rPr>
          <w:rFonts w:cs="Arial"/>
          <w:bCs/>
          <w:sz w:val="24"/>
          <w:szCs w:val="24"/>
        </w:rPr>
        <w:tab/>
        <w:t xml:space="preserve">E-mail </w:t>
      </w:r>
      <w:r w:rsidR="00A4657F" w:rsidRPr="00096041">
        <w:rPr>
          <w:rFonts w:cs="Arial"/>
          <w:bCs/>
          <w:sz w:val="24"/>
          <w:szCs w:val="24"/>
        </w:rPr>
        <w:t>e.d.abrahamson@uel.ac.uk</w:t>
      </w:r>
    </w:p>
    <w:p w:rsidR="00F51772" w:rsidRPr="00096041" w:rsidRDefault="00F51772" w:rsidP="00523180">
      <w:pPr>
        <w:tabs>
          <w:tab w:val="left" w:pos="3240"/>
        </w:tabs>
        <w:spacing w:after="0" w:line="240" w:lineRule="auto"/>
        <w:jc w:val="both"/>
        <w:rPr>
          <w:rFonts w:cs="Arial"/>
          <w:bCs/>
          <w:sz w:val="24"/>
          <w:szCs w:val="24"/>
          <w:u w:val="single"/>
        </w:rPr>
      </w:pPr>
    </w:p>
    <w:p w:rsidR="00523180" w:rsidRPr="00096041" w:rsidRDefault="00523180" w:rsidP="00523180">
      <w:pPr>
        <w:tabs>
          <w:tab w:val="left" w:pos="3240"/>
        </w:tabs>
        <w:spacing w:after="0" w:line="240" w:lineRule="auto"/>
        <w:jc w:val="both"/>
        <w:rPr>
          <w:rFonts w:cs="Arial"/>
          <w:b/>
          <w:sz w:val="24"/>
          <w:szCs w:val="24"/>
        </w:rPr>
      </w:pPr>
      <w:r w:rsidRPr="00096041">
        <w:rPr>
          <w:rFonts w:cs="Arial"/>
          <w:b/>
          <w:sz w:val="24"/>
          <w:szCs w:val="24"/>
        </w:rPr>
        <w:t xml:space="preserve">Prepared on: </w:t>
      </w:r>
      <w:r w:rsidR="00F51772" w:rsidRPr="00096041">
        <w:rPr>
          <w:rFonts w:cs="Arial"/>
          <w:b/>
          <w:sz w:val="24"/>
          <w:szCs w:val="24"/>
        </w:rPr>
        <w:t>1</w:t>
      </w:r>
      <w:r w:rsidR="0022704A" w:rsidRPr="00096041">
        <w:rPr>
          <w:rFonts w:cs="Arial"/>
          <w:b/>
          <w:sz w:val="24"/>
          <w:szCs w:val="24"/>
        </w:rPr>
        <w:t>6</w:t>
      </w:r>
      <w:r w:rsidR="00F51772" w:rsidRPr="00096041">
        <w:rPr>
          <w:rFonts w:cs="Arial"/>
          <w:b/>
          <w:sz w:val="24"/>
          <w:szCs w:val="24"/>
        </w:rPr>
        <w:t xml:space="preserve"> </w:t>
      </w:r>
      <w:r w:rsidR="00573285" w:rsidRPr="00096041">
        <w:rPr>
          <w:rFonts w:cs="Arial"/>
          <w:b/>
          <w:sz w:val="24"/>
          <w:szCs w:val="24"/>
        </w:rPr>
        <w:t>September</w:t>
      </w:r>
      <w:r w:rsidRPr="00096041">
        <w:rPr>
          <w:rFonts w:cs="Arial"/>
          <w:b/>
          <w:sz w:val="24"/>
          <w:szCs w:val="24"/>
        </w:rPr>
        <w:t xml:space="preserve"> 201</w:t>
      </w:r>
      <w:r w:rsidR="00F51772" w:rsidRPr="00096041">
        <w:rPr>
          <w:rFonts w:cs="Arial"/>
          <w:b/>
          <w:sz w:val="24"/>
          <w:szCs w:val="24"/>
        </w:rPr>
        <w:t>3</w:t>
      </w:r>
      <w:r w:rsidRPr="00096041">
        <w:rPr>
          <w:rFonts w:cs="Arial"/>
          <w:b/>
          <w:sz w:val="24"/>
          <w:szCs w:val="24"/>
        </w:rPr>
        <w:tab/>
      </w:r>
    </w:p>
    <w:p w:rsidR="00523180" w:rsidRPr="00096041" w:rsidRDefault="00523180" w:rsidP="00523180">
      <w:pPr>
        <w:tabs>
          <w:tab w:val="left" w:pos="3240"/>
        </w:tabs>
        <w:spacing w:after="0" w:line="240" w:lineRule="auto"/>
        <w:jc w:val="both"/>
        <w:rPr>
          <w:rFonts w:cs="Arial"/>
          <w:b/>
          <w:bCs/>
          <w:sz w:val="24"/>
          <w:szCs w:val="24"/>
        </w:rPr>
      </w:pPr>
    </w:p>
    <w:p w:rsidR="00523180" w:rsidRPr="00096041" w:rsidRDefault="00523180" w:rsidP="00523180">
      <w:pPr>
        <w:tabs>
          <w:tab w:val="left" w:pos="3240"/>
        </w:tabs>
        <w:spacing w:after="0" w:line="240" w:lineRule="auto"/>
        <w:ind w:left="3240" w:hanging="3240"/>
        <w:jc w:val="both"/>
        <w:rPr>
          <w:rFonts w:cs="Arial"/>
          <w:b/>
          <w:sz w:val="24"/>
          <w:szCs w:val="24"/>
        </w:rPr>
      </w:pPr>
      <w:r w:rsidRPr="00096041">
        <w:rPr>
          <w:rFonts w:cs="Arial"/>
          <w:b/>
          <w:sz w:val="24"/>
          <w:szCs w:val="24"/>
        </w:rPr>
        <w:t>Status:    For Consideration and Approval</w:t>
      </w:r>
    </w:p>
    <w:p w:rsidR="00523180" w:rsidRPr="00096041" w:rsidRDefault="00523180" w:rsidP="00523180">
      <w:pPr>
        <w:tabs>
          <w:tab w:val="center" w:pos="1418"/>
          <w:tab w:val="left" w:pos="1843"/>
        </w:tabs>
        <w:spacing w:after="0" w:line="240" w:lineRule="auto"/>
        <w:jc w:val="both"/>
        <w:rPr>
          <w:rFonts w:cs="Arial"/>
          <w:sz w:val="24"/>
          <w:szCs w:val="24"/>
        </w:rPr>
      </w:pPr>
      <w:r w:rsidRPr="00096041">
        <w:rPr>
          <w:rFonts w:cs="Arial"/>
          <w:b/>
          <w:sz w:val="24"/>
          <w:szCs w:val="24"/>
        </w:rPr>
        <w:t>________________________________________________________________</w:t>
      </w:r>
    </w:p>
    <w:p w:rsidR="00523180" w:rsidRPr="00096041" w:rsidRDefault="00523180" w:rsidP="00523180">
      <w:pPr>
        <w:tabs>
          <w:tab w:val="center" w:pos="1418"/>
          <w:tab w:val="left" w:pos="1843"/>
        </w:tabs>
        <w:spacing w:after="0" w:line="240" w:lineRule="auto"/>
        <w:jc w:val="both"/>
        <w:rPr>
          <w:rFonts w:cs="Arial"/>
          <w:sz w:val="24"/>
          <w:szCs w:val="24"/>
        </w:rPr>
      </w:pPr>
    </w:p>
    <w:p w:rsidR="00523180" w:rsidRPr="00096041" w:rsidRDefault="00523180" w:rsidP="00523180">
      <w:pPr>
        <w:tabs>
          <w:tab w:val="center" w:pos="1418"/>
          <w:tab w:val="left" w:pos="1843"/>
        </w:tabs>
        <w:spacing w:after="0" w:line="240" w:lineRule="auto"/>
        <w:jc w:val="both"/>
        <w:rPr>
          <w:rFonts w:cs="Arial"/>
          <w:b/>
          <w:sz w:val="24"/>
          <w:szCs w:val="24"/>
        </w:rPr>
      </w:pPr>
      <w:r w:rsidRPr="00096041">
        <w:rPr>
          <w:rFonts w:cs="Arial"/>
          <w:b/>
          <w:sz w:val="24"/>
          <w:szCs w:val="24"/>
        </w:rPr>
        <w:t>Executive summary</w:t>
      </w:r>
    </w:p>
    <w:p w:rsidR="00523180" w:rsidRPr="00096041" w:rsidRDefault="00523180" w:rsidP="00523180">
      <w:pPr>
        <w:spacing w:after="0" w:line="240" w:lineRule="auto"/>
        <w:rPr>
          <w:rFonts w:cs="Arial"/>
          <w:strike/>
          <w:sz w:val="24"/>
          <w:szCs w:val="24"/>
        </w:rPr>
      </w:pPr>
    </w:p>
    <w:p w:rsidR="00523180" w:rsidRPr="00096041" w:rsidRDefault="00523180" w:rsidP="00523180">
      <w:pPr>
        <w:spacing w:after="0" w:line="240" w:lineRule="auto"/>
        <w:rPr>
          <w:rFonts w:ascii="Arial" w:hAnsi="Arial" w:cs="Arial"/>
          <w:sz w:val="24"/>
          <w:szCs w:val="24"/>
        </w:rPr>
      </w:pPr>
      <w:r w:rsidRPr="00096041">
        <w:rPr>
          <w:rFonts w:cs="Arial"/>
          <w:sz w:val="24"/>
          <w:szCs w:val="24"/>
        </w:rPr>
        <w:t>This paper provides a</w:t>
      </w:r>
      <w:r w:rsidR="00743F18" w:rsidRPr="00096041">
        <w:rPr>
          <w:rFonts w:cs="Arial"/>
          <w:sz w:val="24"/>
          <w:szCs w:val="24"/>
        </w:rPr>
        <w:t>n</w:t>
      </w:r>
      <w:r w:rsidRPr="00096041">
        <w:rPr>
          <w:rFonts w:cs="Arial"/>
          <w:sz w:val="24"/>
          <w:szCs w:val="24"/>
        </w:rPr>
        <w:t xml:space="preserve"> overview of extenuating</w:t>
      </w:r>
      <w:r w:rsidR="0044191D" w:rsidRPr="00096041">
        <w:rPr>
          <w:rFonts w:cs="Arial"/>
          <w:sz w:val="24"/>
          <w:szCs w:val="24"/>
        </w:rPr>
        <w:t xml:space="preserve"> claims and</w:t>
      </w:r>
      <w:r w:rsidRPr="00096041">
        <w:rPr>
          <w:rFonts w:cs="Arial"/>
          <w:sz w:val="24"/>
          <w:szCs w:val="24"/>
        </w:rPr>
        <w:t xml:space="preserve"> circumstances</w:t>
      </w:r>
      <w:r w:rsidR="00F51772" w:rsidRPr="00096041">
        <w:rPr>
          <w:rFonts w:cs="Arial"/>
          <w:sz w:val="24"/>
          <w:szCs w:val="24"/>
        </w:rPr>
        <w:t xml:space="preserve"> submitted</w:t>
      </w:r>
      <w:r w:rsidRPr="00096041">
        <w:rPr>
          <w:rFonts w:cs="Arial"/>
          <w:sz w:val="24"/>
          <w:szCs w:val="24"/>
        </w:rPr>
        <w:t xml:space="preserve"> by students </w:t>
      </w:r>
      <w:r w:rsidR="00F51772" w:rsidRPr="00096041">
        <w:rPr>
          <w:rFonts w:cs="Arial"/>
          <w:sz w:val="24"/>
          <w:szCs w:val="24"/>
        </w:rPr>
        <w:t>during the 2012-13</w:t>
      </w:r>
      <w:r w:rsidRPr="00096041">
        <w:rPr>
          <w:rFonts w:cs="Arial"/>
          <w:sz w:val="24"/>
          <w:szCs w:val="24"/>
        </w:rPr>
        <w:t xml:space="preserve"> academic </w:t>
      </w:r>
      <w:proofErr w:type="gramStart"/>
      <w:r w:rsidRPr="00096041">
        <w:rPr>
          <w:rFonts w:cs="Arial"/>
          <w:sz w:val="24"/>
          <w:szCs w:val="24"/>
        </w:rPr>
        <w:t>year</w:t>
      </w:r>
      <w:proofErr w:type="gramEnd"/>
      <w:r w:rsidRPr="00096041">
        <w:rPr>
          <w:rFonts w:cs="Arial"/>
          <w:sz w:val="24"/>
          <w:szCs w:val="24"/>
        </w:rPr>
        <w:t>.</w:t>
      </w:r>
      <w:r w:rsidR="0055588A">
        <w:rPr>
          <w:rFonts w:cs="Arial"/>
          <w:sz w:val="24"/>
          <w:szCs w:val="24"/>
        </w:rPr>
        <w:t xml:space="preserve"> </w:t>
      </w:r>
      <w:r w:rsidR="001D48E3">
        <w:rPr>
          <w:rFonts w:cs="Arial"/>
          <w:sz w:val="24"/>
          <w:szCs w:val="24"/>
        </w:rPr>
        <w:t xml:space="preserve"> </w:t>
      </w:r>
      <w:r w:rsidR="0055588A">
        <w:rPr>
          <w:rFonts w:cs="Arial"/>
          <w:sz w:val="24"/>
          <w:szCs w:val="24"/>
        </w:rPr>
        <w:t>An evaluation of claims by demographical characteristic was conducted in line with equality and diversity monitoring.</w:t>
      </w:r>
      <w:r w:rsidR="0055588A" w:rsidRPr="00096041" w:rsidDel="0055588A">
        <w:rPr>
          <w:rFonts w:cs="Arial"/>
          <w:sz w:val="24"/>
          <w:szCs w:val="24"/>
        </w:rPr>
        <w:t xml:space="preserve"> </w:t>
      </w:r>
    </w:p>
    <w:p w:rsidR="00285D15" w:rsidRDefault="00523180">
      <w:pPr>
        <w:spacing w:after="0" w:line="240" w:lineRule="auto"/>
        <w:rPr>
          <w:rFonts w:ascii="Arial" w:hAnsi="Arial" w:cs="Arial"/>
          <w:sz w:val="24"/>
          <w:szCs w:val="24"/>
        </w:rPr>
      </w:pPr>
      <w:r w:rsidRPr="00096041">
        <w:rPr>
          <w:rFonts w:ascii="Arial" w:hAnsi="Arial" w:cs="Arial"/>
          <w:b/>
          <w:sz w:val="24"/>
          <w:szCs w:val="24"/>
        </w:rPr>
        <w:t>________________________________________________________________</w:t>
      </w:r>
    </w:p>
    <w:p w:rsidR="005112D6" w:rsidRPr="00096041" w:rsidRDefault="005112D6">
      <w:pPr>
        <w:rPr>
          <w:sz w:val="24"/>
          <w:szCs w:val="24"/>
        </w:rPr>
      </w:pPr>
    </w:p>
    <w:p w:rsidR="005112D6" w:rsidRPr="00096041" w:rsidRDefault="005112D6" w:rsidP="005112D6">
      <w:pPr>
        <w:pStyle w:val="ListParagraph"/>
        <w:numPr>
          <w:ilvl w:val="0"/>
          <w:numId w:val="1"/>
        </w:numPr>
        <w:ind w:left="0" w:firstLine="0"/>
        <w:rPr>
          <w:b/>
          <w:sz w:val="24"/>
          <w:szCs w:val="24"/>
        </w:rPr>
      </w:pPr>
      <w:r w:rsidRPr="00096041">
        <w:rPr>
          <w:b/>
          <w:sz w:val="24"/>
          <w:szCs w:val="24"/>
        </w:rPr>
        <w:t>Introduction</w:t>
      </w:r>
    </w:p>
    <w:p w:rsidR="00762F2F" w:rsidRPr="00752A30" w:rsidRDefault="00FB4577" w:rsidP="008D4EA1">
      <w:pPr>
        <w:pStyle w:val="ListParagraph"/>
        <w:numPr>
          <w:ilvl w:val="1"/>
          <w:numId w:val="3"/>
        </w:numPr>
        <w:ind w:left="709" w:hanging="709"/>
        <w:jc w:val="both"/>
        <w:rPr>
          <w:sz w:val="24"/>
          <w:szCs w:val="24"/>
        </w:rPr>
      </w:pPr>
      <w:r w:rsidRPr="00096041">
        <w:rPr>
          <w:sz w:val="24"/>
          <w:szCs w:val="24"/>
        </w:rPr>
        <w:t xml:space="preserve">This report covers the operation of </w:t>
      </w:r>
      <w:r w:rsidR="00762F2F" w:rsidRPr="00096041">
        <w:rPr>
          <w:sz w:val="24"/>
          <w:szCs w:val="24"/>
        </w:rPr>
        <w:t>e</w:t>
      </w:r>
      <w:r w:rsidRPr="00096041">
        <w:rPr>
          <w:sz w:val="24"/>
          <w:szCs w:val="24"/>
        </w:rPr>
        <w:t xml:space="preserve">xtenuating </w:t>
      </w:r>
      <w:r w:rsidR="00762F2F" w:rsidRPr="00096041">
        <w:rPr>
          <w:sz w:val="24"/>
          <w:szCs w:val="24"/>
        </w:rPr>
        <w:t>c</w:t>
      </w:r>
      <w:r w:rsidRPr="00096041">
        <w:rPr>
          <w:sz w:val="24"/>
          <w:szCs w:val="24"/>
        </w:rPr>
        <w:t>ircumsta</w:t>
      </w:r>
      <w:r w:rsidR="00762F2F" w:rsidRPr="00096041">
        <w:rPr>
          <w:sz w:val="24"/>
          <w:szCs w:val="24"/>
        </w:rPr>
        <w:t xml:space="preserve">nces procedures for the </w:t>
      </w:r>
      <w:r w:rsidR="00F51772" w:rsidRPr="00096041">
        <w:rPr>
          <w:sz w:val="24"/>
          <w:szCs w:val="24"/>
        </w:rPr>
        <w:t xml:space="preserve">academic </w:t>
      </w:r>
      <w:r w:rsidR="00762F2F" w:rsidRPr="00096041">
        <w:rPr>
          <w:sz w:val="24"/>
          <w:szCs w:val="24"/>
        </w:rPr>
        <w:t>year 20</w:t>
      </w:r>
      <w:r w:rsidR="00DD20BF" w:rsidRPr="00096041">
        <w:rPr>
          <w:sz w:val="24"/>
          <w:szCs w:val="24"/>
        </w:rPr>
        <w:t>1</w:t>
      </w:r>
      <w:r w:rsidR="00F51772" w:rsidRPr="00096041">
        <w:rPr>
          <w:sz w:val="24"/>
          <w:szCs w:val="24"/>
        </w:rPr>
        <w:t>2</w:t>
      </w:r>
      <w:r w:rsidRPr="00096041">
        <w:rPr>
          <w:sz w:val="24"/>
          <w:szCs w:val="24"/>
        </w:rPr>
        <w:t>-1</w:t>
      </w:r>
      <w:r w:rsidR="00F51772" w:rsidRPr="00096041">
        <w:rPr>
          <w:sz w:val="24"/>
          <w:szCs w:val="24"/>
        </w:rPr>
        <w:t>3</w:t>
      </w:r>
      <w:r w:rsidRPr="00096041">
        <w:rPr>
          <w:sz w:val="24"/>
          <w:szCs w:val="24"/>
        </w:rPr>
        <w:t xml:space="preserve">.  </w:t>
      </w:r>
      <w:r w:rsidR="00D67DDF" w:rsidRPr="00096041">
        <w:rPr>
          <w:sz w:val="24"/>
          <w:szCs w:val="24"/>
        </w:rPr>
        <w:t xml:space="preserve">All </w:t>
      </w:r>
      <w:r w:rsidR="00DD20BF" w:rsidRPr="00096041">
        <w:rPr>
          <w:sz w:val="24"/>
          <w:szCs w:val="24"/>
        </w:rPr>
        <w:t xml:space="preserve">the </w:t>
      </w:r>
      <w:r w:rsidRPr="00096041">
        <w:rPr>
          <w:sz w:val="24"/>
          <w:szCs w:val="24"/>
        </w:rPr>
        <w:t xml:space="preserve">data </w:t>
      </w:r>
      <w:r w:rsidR="0055588A">
        <w:rPr>
          <w:sz w:val="24"/>
          <w:szCs w:val="24"/>
        </w:rPr>
        <w:t>relates to on-campus students</w:t>
      </w:r>
      <w:r w:rsidR="00D67DDF" w:rsidRPr="00096041">
        <w:rPr>
          <w:sz w:val="24"/>
          <w:szCs w:val="24"/>
        </w:rPr>
        <w:t xml:space="preserve"> as collaborative partners manage their own extenuation claims.</w:t>
      </w:r>
    </w:p>
    <w:p w:rsidR="00FE0DFB" w:rsidRDefault="00762F2F" w:rsidP="008D4EA1">
      <w:pPr>
        <w:pStyle w:val="ListParagraph"/>
        <w:ind w:left="709" w:hanging="709"/>
        <w:jc w:val="both"/>
        <w:rPr>
          <w:sz w:val="24"/>
          <w:szCs w:val="24"/>
        </w:rPr>
      </w:pPr>
      <w:r w:rsidRPr="00096041">
        <w:rPr>
          <w:sz w:val="24"/>
          <w:szCs w:val="24"/>
        </w:rPr>
        <w:t>1.2</w:t>
      </w:r>
      <w:r w:rsidRPr="00096041">
        <w:rPr>
          <w:sz w:val="24"/>
          <w:szCs w:val="24"/>
        </w:rPr>
        <w:tab/>
        <w:t xml:space="preserve">There were no changes to </w:t>
      </w:r>
      <w:r w:rsidR="00F51772" w:rsidRPr="00096041">
        <w:rPr>
          <w:sz w:val="24"/>
          <w:szCs w:val="24"/>
        </w:rPr>
        <w:t>the</w:t>
      </w:r>
      <w:r w:rsidRPr="00096041">
        <w:rPr>
          <w:sz w:val="24"/>
          <w:szCs w:val="24"/>
        </w:rPr>
        <w:t xml:space="preserve"> extenuating circumstances</w:t>
      </w:r>
      <w:r w:rsidR="00F51772" w:rsidRPr="00096041">
        <w:rPr>
          <w:sz w:val="24"/>
          <w:szCs w:val="24"/>
        </w:rPr>
        <w:t xml:space="preserve"> procedures</w:t>
      </w:r>
      <w:r w:rsidRPr="00096041">
        <w:rPr>
          <w:sz w:val="24"/>
          <w:szCs w:val="24"/>
        </w:rPr>
        <w:t xml:space="preserve"> in 201</w:t>
      </w:r>
      <w:r w:rsidR="00F51772" w:rsidRPr="00096041">
        <w:rPr>
          <w:sz w:val="24"/>
          <w:szCs w:val="24"/>
        </w:rPr>
        <w:t>2</w:t>
      </w:r>
      <w:r w:rsidRPr="00096041">
        <w:rPr>
          <w:sz w:val="24"/>
          <w:szCs w:val="24"/>
        </w:rPr>
        <w:t>-1</w:t>
      </w:r>
      <w:r w:rsidR="00F51772" w:rsidRPr="00096041">
        <w:rPr>
          <w:sz w:val="24"/>
          <w:szCs w:val="24"/>
        </w:rPr>
        <w:t>3</w:t>
      </w:r>
      <w:r w:rsidRPr="00096041">
        <w:rPr>
          <w:sz w:val="24"/>
          <w:szCs w:val="24"/>
        </w:rPr>
        <w:t>, although additional guidance</w:t>
      </w:r>
      <w:r w:rsidR="00F51772" w:rsidRPr="00096041">
        <w:rPr>
          <w:sz w:val="24"/>
          <w:szCs w:val="24"/>
        </w:rPr>
        <w:t xml:space="preserve"> was provided on the website to further assist students in understanding the procedures governing the claim for extenuation</w:t>
      </w:r>
      <w:r w:rsidRPr="00096041">
        <w:rPr>
          <w:sz w:val="24"/>
          <w:szCs w:val="24"/>
        </w:rPr>
        <w:t xml:space="preserve">.  </w:t>
      </w:r>
    </w:p>
    <w:p w:rsidR="0077700C" w:rsidRDefault="0077700C" w:rsidP="008D4EA1">
      <w:pPr>
        <w:pStyle w:val="ListParagraph"/>
        <w:ind w:left="709" w:hanging="709"/>
        <w:jc w:val="both"/>
        <w:rPr>
          <w:sz w:val="24"/>
          <w:szCs w:val="24"/>
        </w:rPr>
      </w:pPr>
      <w:r>
        <w:rPr>
          <w:sz w:val="24"/>
          <w:szCs w:val="24"/>
        </w:rPr>
        <w:tab/>
        <w:t>In previous years the extenuation panel was chaired by</w:t>
      </w:r>
      <w:r w:rsidR="00B23F11">
        <w:rPr>
          <w:sz w:val="24"/>
          <w:szCs w:val="24"/>
        </w:rPr>
        <w:t xml:space="preserve"> Dr</w:t>
      </w:r>
      <w:r>
        <w:rPr>
          <w:sz w:val="24"/>
          <w:szCs w:val="24"/>
        </w:rPr>
        <w:t xml:space="preserve"> Julie </w:t>
      </w:r>
      <w:proofErr w:type="spellStart"/>
      <w:r>
        <w:rPr>
          <w:sz w:val="24"/>
          <w:szCs w:val="24"/>
        </w:rPr>
        <w:t>Baldry-Curren</w:t>
      </w:r>
      <w:r w:rsidR="00B23F11">
        <w:rPr>
          <w:sz w:val="24"/>
          <w:szCs w:val="24"/>
        </w:rPr>
        <w:t>s</w:t>
      </w:r>
      <w:proofErr w:type="spellEnd"/>
      <w:r>
        <w:rPr>
          <w:sz w:val="24"/>
          <w:szCs w:val="24"/>
        </w:rPr>
        <w:t xml:space="preserve"> director of academic practice</w:t>
      </w:r>
      <w:r w:rsidR="004D39B5">
        <w:rPr>
          <w:sz w:val="24"/>
          <w:szCs w:val="24"/>
        </w:rPr>
        <w:t xml:space="preserve"> and learning enhancement (APLE)</w:t>
      </w:r>
      <w:r>
        <w:rPr>
          <w:sz w:val="24"/>
          <w:szCs w:val="24"/>
        </w:rPr>
        <w:t>. Julie is currently on secondment to the HEA, so Gareth Smith, director of student life, has chaired the panel since semester B. It is important that the chair of the panel is neutral and not affiliated to a school as this could potentially impact decisions.</w:t>
      </w:r>
    </w:p>
    <w:p w:rsidR="0077700C" w:rsidRPr="0088636A" w:rsidRDefault="0077700C" w:rsidP="0088636A">
      <w:pPr>
        <w:jc w:val="both"/>
        <w:rPr>
          <w:sz w:val="24"/>
          <w:szCs w:val="24"/>
        </w:rPr>
      </w:pPr>
    </w:p>
    <w:p w:rsidR="00F51772" w:rsidRDefault="00F51772" w:rsidP="00FE0DFB">
      <w:pPr>
        <w:pStyle w:val="ListParagraph"/>
        <w:ind w:left="709" w:hanging="709"/>
        <w:rPr>
          <w:sz w:val="24"/>
          <w:szCs w:val="24"/>
        </w:rPr>
      </w:pPr>
    </w:p>
    <w:p w:rsidR="00752A30" w:rsidRPr="00096041" w:rsidRDefault="00752A30" w:rsidP="00FE0DFB">
      <w:pPr>
        <w:pStyle w:val="ListParagraph"/>
        <w:ind w:left="709" w:hanging="709"/>
        <w:rPr>
          <w:sz w:val="24"/>
          <w:szCs w:val="24"/>
        </w:rPr>
      </w:pPr>
    </w:p>
    <w:p w:rsidR="005112D6" w:rsidRPr="00096041" w:rsidRDefault="005112D6" w:rsidP="005112D6">
      <w:pPr>
        <w:pStyle w:val="ListParagraph"/>
        <w:numPr>
          <w:ilvl w:val="0"/>
          <w:numId w:val="1"/>
        </w:numPr>
        <w:ind w:left="0" w:firstLine="0"/>
        <w:rPr>
          <w:b/>
          <w:sz w:val="24"/>
          <w:szCs w:val="24"/>
        </w:rPr>
      </w:pPr>
      <w:r w:rsidRPr="00096041">
        <w:rPr>
          <w:b/>
          <w:sz w:val="24"/>
          <w:szCs w:val="24"/>
        </w:rPr>
        <w:lastRenderedPageBreak/>
        <w:t>Summary of Claims</w:t>
      </w:r>
    </w:p>
    <w:p w:rsidR="005112D6" w:rsidRPr="00096041" w:rsidRDefault="005112D6" w:rsidP="005112D6">
      <w:pPr>
        <w:pStyle w:val="ListParagraph"/>
        <w:ind w:left="0"/>
        <w:rPr>
          <w:sz w:val="24"/>
          <w:szCs w:val="24"/>
        </w:rPr>
      </w:pPr>
    </w:p>
    <w:p w:rsidR="007C26BD" w:rsidRPr="00096041" w:rsidRDefault="005112D6" w:rsidP="00635B9C">
      <w:pPr>
        <w:pStyle w:val="ListParagraph"/>
        <w:ind w:left="709" w:hanging="709"/>
        <w:rPr>
          <w:sz w:val="24"/>
          <w:szCs w:val="24"/>
        </w:rPr>
      </w:pPr>
      <w:r w:rsidRPr="00096041">
        <w:rPr>
          <w:sz w:val="24"/>
          <w:szCs w:val="24"/>
        </w:rPr>
        <w:t xml:space="preserve">2.1 </w:t>
      </w:r>
      <w:r w:rsidR="0005126E" w:rsidRPr="00096041">
        <w:rPr>
          <w:sz w:val="24"/>
          <w:szCs w:val="24"/>
        </w:rPr>
        <w:tab/>
        <w:t xml:space="preserve">Students must make </w:t>
      </w:r>
      <w:r w:rsidR="00644F8E" w:rsidRPr="00096041">
        <w:rPr>
          <w:sz w:val="24"/>
          <w:szCs w:val="24"/>
        </w:rPr>
        <w:t>a separate claim</w:t>
      </w:r>
      <w:r w:rsidR="0005126E" w:rsidRPr="00096041">
        <w:rPr>
          <w:sz w:val="24"/>
          <w:szCs w:val="24"/>
        </w:rPr>
        <w:t xml:space="preserve"> for each component of assessment for which they</w:t>
      </w:r>
      <w:r w:rsidR="007C26BD" w:rsidRPr="00096041">
        <w:rPr>
          <w:sz w:val="24"/>
          <w:szCs w:val="24"/>
        </w:rPr>
        <w:t xml:space="preserve"> seek to have their extenuating circumstances considered.  Table 1 provides a summary of </w:t>
      </w:r>
      <w:r w:rsidR="0055588A">
        <w:rPr>
          <w:sz w:val="24"/>
          <w:szCs w:val="24"/>
        </w:rPr>
        <w:t xml:space="preserve">the number of </w:t>
      </w:r>
      <w:r w:rsidR="007C26BD" w:rsidRPr="00096041">
        <w:rPr>
          <w:sz w:val="24"/>
          <w:szCs w:val="24"/>
        </w:rPr>
        <w:t xml:space="preserve">extenuation claims </w:t>
      </w:r>
      <w:r w:rsidR="00E37AC1" w:rsidRPr="00096041">
        <w:rPr>
          <w:sz w:val="24"/>
          <w:szCs w:val="24"/>
        </w:rPr>
        <w:t>by component</w:t>
      </w:r>
      <w:r w:rsidR="0055588A">
        <w:rPr>
          <w:sz w:val="24"/>
          <w:szCs w:val="24"/>
        </w:rPr>
        <w:t xml:space="preserve"> and period</w:t>
      </w:r>
      <w:r w:rsidR="007C26BD" w:rsidRPr="00096041">
        <w:rPr>
          <w:sz w:val="24"/>
          <w:szCs w:val="24"/>
        </w:rPr>
        <w:t>.</w:t>
      </w:r>
    </w:p>
    <w:p w:rsidR="00F51772" w:rsidRPr="00096041" w:rsidRDefault="00F51772" w:rsidP="00635B9C">
      <w:pPr>
        <w:pStyle w:val="ListParagraph"/>
        <w:ind w:left="709" w:hanging="709"/>
        <w:rPr>
          <w:sz w:val="24"/>
          <w:szCs w:val="24"/>
        </w:rPr>
      </w:pPr>
    </w:p>
    <w:p w:rsidR="00265C00" w:rsidRPr="00096041" w:rsidRDefault="00265C00" w:rsidP="00E305B8">
      <w:pPr>
        <w:pStyle w:val="ListParagraph"/>
        <w:spacing w:after="0"/>
        <w:ind w:left="709"/>
        <w:rPr>
          <w:b/>
          <w:sz w:val="24"/>
          <w:szCs w:val="24"/>
        </w:rPr>
      </w:pPr>
      <w:r w:rsidRPr="00096041">
        <w:rPr>
          <w:b/>
          <w:sz w:val="24"/>
          <w:szCs w:val="24"/>
        </w:rPr>
        <w:t>Table 1: Number of component claims by school 201</w:t>
      </w:r>
      <w:r w:rsidR="00F51772" w:rsidRPr="00096041">
        <w:rPr>
          <w:b/>
          <w:sz w:val="24"/>
          <w:szCs w:val="24"/>
        </w:rPr>
        <w:t>2-</w:t>
      </w:r>
      <w:r w:rsidRPr="00096041">
        <w:rPr>
          <w:b/>
          <w:sz w:val="24"/>
          <w:szCs w:val="24"/>
        </w:rPr>
        <w:t>1</w:t>
      </w:r>
      <w:r w:rsidR="00F51772" w:rsidRPr="00096041">
        <w:rPr>
          <w:b/>
          <w:sz w:val="24"/>
          <w:szCs w:val="24"/>
        </w:rPr>
        <w:t>3</w:t>
      </w:r>
      <w:r w:rsidRPr="00096041">
        <w:rPr>
          <w:b/>
          <w:sz w:val="24"/>
          <w:szCs w:val="24"/>
        </w:rPr>
        <w:t xml:space="preserve"> </w:t>
      </w:r>
    </w:p>
    <w:tbl>
      <w:tblPr>
        <w:tblW w:w="7229" w:type="dxa"/>
        <w:tblInd w:w="817" w:type="dxa"/>
        <w:tblLook w:val="04A0"/>
      </w:tblPr>
      <w:tblGrid>
        <w:gridCol w:w="1701"/>
        <w:gridCol w:w="601"/>
        <w:gridCol w:w="581"/>
        <w:gridCol w:w="704"/>
        <w:gridCol w:w="607"/>
        <w:gridCol w:w="581"/>
        <w:gridCol w:w="581"/>
        <w:gridCol w:w="735"/>
        <w:gridCol w:w="1299"/>
      </w:tblGrid>
      <w:tr w:rsidR="00265C00" w:rsidRPr="00096041" w:rsidTr="00B71F1C">
        <w:trPr>
          <w:trHeight w:val="300"/>
        </w:trPr>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65C00" w:rsidRPr="00096041" w:rsidRDefault="00265C00" w:rsidP="00265C00">
            <w:pPr>
              <w:spacing w:after="0" w:line="240" w:lineRule="auto"/>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 </w:t>
            </w:r>
          </w:p>
        </w:tc>
        <w:tc>
          <w:tcPr>
            <w:tcW w:w="440" w:type="dxa"/>
            <w:tcBorders>
              <w:top w:val="single" w:sz="4" w:space="0" w:color="auto"/>
              <w:left w:val="nil"/>
              <w:bottom w:val="single" w:sz="4" w:space="0" w:color="auto"/>
              <w:right w:val="nil"/>
            </w:tcBorders>
            <w:shd w:val="clear" w:color="auto" w:fill="auto"/>
            <w:noWrap/>
            <w:vAlign w:val="bottom"/>
            <w:hideMark/>
          </w:tcPr>
          <w:p w:rsidR="00265C00" w:rsidRPr="00096041" w:rsidRDefault="00265C00"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ACE</w:t>
            </w:r>
          </w:p>
        </w:tc>
        <w:tc>
          <w:tcPr>
            <w:tcW w:w="581" w:type="dxa"/>
            <w:tcBorders>
              <w:top w:val="single" w:sz="4" w:space="0" w:color="auto"/>
              <w:left w:val="nil"/>
              <w:bottom w:val="single" w:sz="4" w:space="0" w:color="auto"/>
              <w:right w:val="nil"/>
            </w:tcBorders>
            <w:shd w:val="clear" w:color="auto" w:fill="auto"/>
            <w:noWrap/>
            <w:vAlign w:val="bottom"/>
            <w:hideMark/>
          </w:tcPr>
          <w:p w:rsidR="00265C00" w:rsidRPr="00096041" w:rsidRDefault="00265C00"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ADI</w:t>
            </w:r>
          </w:p>
        </w:tc>
        <w:tc>
          <w:tcPr>
            <w:tcW w:w="704" w:type="dxa"/>
            <w:tcBorders>
              <w:top w:val="single" w:sz="4" w:space="0" w:color="auto"/>
              <w:left w:val="nil"/>
              <w:bottom w:val="single" w:sz="4" w:space="0" w:color="auto"/>
              <w:right w:val="nil"/>
            </w:tcBorders>
            <w:shd w:val="clear" w:color="auto" w:fill="auto"/>
            <w:noWrap/>
            <w:vAlign w:val="bottom"/>
            <w:hideMark/>
          </w:tcPr>
          <w:p w:rsidR="00265C00" w:rsidRPr="00096041" w:rsidRDefault="00B20620" w:rsidP="00B20620">
            <w:pPr>
              <w:spacing w:after="0" w:line="240" w:lineRule="auto"/>
              <w:jc w:val="center"/>
              <w:rPr>
                <w:rFonts w:ascii="Calibri" w:eastAsia="Times New Roman" w:hAnsi="Calibri" w:cs="Times New Roman"/>
                <w:color w:val="000000"/>
                <w:sz w:val="24"/>
                <w:szCs w:val="24"/>
                <w:lang w:eastAsia="en-GB"/>
              </w:rPr>
            </w:pPr>
            <w:r>
              <w:rPr>
                <w:rFonts w:ascii="Calibri" w:eastAsia="Times New Roman" w:hAnsi="Calibri" w:cs="Times New Roman"/>
                <w:color w:val="000000"/>
                <w:sz w:val="24"/>
                <w:szCs w:val="24"/>
                <w:lang w:eastAsia="en-GB"/>
              </w:rPr>
              <w:t>Cass</w:t>
            </w:r>
          </w:p>
        </w:tc>
        <w:tc>
          <w:tcPr>
            <w:tcW w:w="607" w:type="dxa"/>
            <w:tcBorders>
              <w:top w:val="single" w:sz="4" w:space="0" w:color="auto"/>
              <w:left w:val="nil"/>
              <w:bottom w:val="single" w:sz="4" w:space="0" w:color="auto"/>
              <w:right w:val="nil"/>
            </w:tcBorders>
            <w:shd w:val="clear" w:color="auto" w:fill="auto"/>
            <w:noWrap/>
            <w:vAlign w:val="bottom"/>
            <w:hideMark/>
          </w:tcPr>
          <w:p w:rsidR="00265C00" w:rsidRPr="00096041" w:rsidRDefault="00265C00"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HSB</w:t>
            </w:r>
          </w:p>
        </w:tc>
        <w:tc>
          <w:tcPr>
            <w:tcW w:w="581" w:type="dxa"/>
            <w:tcBorders>
              <w:top w:val="single" w:sz="4" w:space="0" w:color="auto"/>
              <w:left w:val="nil"/>
              <w:bottom w:val="single" w:sz="4" w:space="0" w:color="auto"/>
              <w:right w:val="nil"/>
            </w:tcBorders>
            <w:shd w:val="clear" w:color="auto" w:fill="auto"/>
            <w:noWrap/>
            <w:vAlign w:val="bottom"/>
            <w:hideMark/>
          </w:tcPr>
          <w:p w:rsidR="00265C00" w:rsidRPr="00096041" w:rsidRDefault="00265C00"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L</w:t>
            </w:r>
            <w:r w:rsidR="00E91916" w:rsidRPr="00096041">
              <w:rPr>
                <w:rFonts w:ascii="Calibri" w:eastAsia="Times New Roman" w:hAnsi="Calibri" w:cs="Times New Roman"/>
                <w:color w:val="000000"/>
                <w:sz w:val="24"/>
                <w:szCs w:val="24"/>
                <w:lang w:eastAsia="en-GB"/>
              </w:rPr>
              <w:t>S</w:t>
            </w:r>
            <w:r w:rsidRPr="00096041">
              <w:rPr>
                <w:rFonts w:ascii="Calibri" w:eastAsia="Times New Roman" w:hAnsi="Calibri" w:cs="Times New Roman"/>
                <w:color w:val="000000"/>
                <w:sz w:val="24"/>
                <w:szCs w:val="24"/>
                <w:lang w:eastAsia="en-GB"/>
              </w:rPr>
              <w:t>S</w:t>
            </w:r>
          </w:p>
        </w:tc>
        <w:tc>
          <w:tcPr>
            <w:tcW w:w="581" w:type="dxa"/>
            <w:tcBorders>
              <w:top w:val="single" w:sz="4" w:space="0" w:color="auto"/>
              <w:left w:val="nil"/>
              <w:bottom w:val="single" w:sz="4" w:space="0" w:color="auto"/>
              <w:right w:val="nil"/>
            </w:tcBorders>
            <w:shd w:val="clear" w:color="auto" w:fill="auto"/>
            <w:noWrap/>
            <w:vAlign w:val="bottom"/>
            <w:hideMark/>
          </w:tcPr>
          <w:p w:rsidR="00265C00" w:rsidRPr="00096041" w:rsidRDefault="00265C00"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PSY</w:t>
            </w:r>
          </w:p>
        </w:tc>
        <w:tc>
          <w:tcPr>
            <w:tcW w:w="735" w:type="dxa"/>
            <w:tcBorders>
              <w:top w:val="single" w:sz="4" w:space="0" w:color="auto"/>
              <w:left w:val="nil"/>
              <w:bottom w:val="single" w:sz="4" w:space="0" w:color="auto"/>
              <w:right w:val="nil"/>
            </w:tcBorders>
            <w:shd w:val="clear" w:color="auto" w:fill="auto"/>
            <w:noWrap/>
            <w:vAlign w:val="bottom"/>
            <w:hideMark/>
          </w:tcPr>
          <w:p w:rsidR="00265C00" w:rsidRPr="00096041" w:rsidRDefault="00265C00"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RDBS</w:t>
            </w:r>
          </w:p>
        </w:tc>
        <w:tc>
          <w:tcPr>
            <w:tcW w:w="1299" w:type="dxa"/>
            <w:tcBorders>
              <w:top w:val="single" w:sz="4" w:space="0" w:color="auto"/>
              <w:left w:val="nil"/>
              <w:bottom w:val="single" w:sz="4" w:space="0" w:color="auto"/>
              <w:right w:val="single" w:sz="4" w:space="0" w:color="auto"/>
            </w:tcBorders>
            <w:shd w:val="clear" w:color="auto" w:fill="auto"/>
            <w:noWrap/>
            <w:vAlign w:val="bottom"/>
            <w:hideMark/>
          </w:tcPr>
          <w:p w:rsidR="00265C00" w:rsidRPr="00096041" w:rsidRDefault="00265C00"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Total</w:t>
            </w:r>
          </w:p>
        </w:tc>
      </w:tr>
      <w:tr w:rsidR="00265C00" w:rsidRPr="00096041" w:rsidTr="00B71F1C">
        <w:trPr>
          <w:trHeight w:val="300"/>
        </w:trPr>
        <w:tc>
          <w:tcPr>
            <w:tcW w:w="1701" w:type="dxa"/>
            <w:tcBorders>
              <w:top w:val="nil"/>
              <w:left w:val="single" w:sz="4" w:space="0" w:color="auto"/>
              <w:bottom w:val="nil"/>
              <w:right w:val="single" w:sz="4" w:space="0" w:color="auto"/>
            </w:tcBorders>
            <w:shd w:val="clear" w:color="000000" w:fill="C5D9F1"/>
            <w:noWrap/>
            <w:vAlign w:val="bottom"/>
            <w:hideMark/>
          </w:tcPr>
          <w:p w:rsidR="00265C00" w:rsidRPr="00096041" w:rsidRDefault="00265C00" w:rsidP="00265C00">
            <w:pPr>
              <w:spacing w:after="0" w:line="240" w:lineRule="auto"/>
              <w:rPr>
                <w:rFonts w:ascii="Calibri" w:eastAsia="Times New Roman" w:hAnsi="Calibri" w:cs="Times New Roman"/>
                <w:color w:val="000000"/>
                <w:sz w:val="24"/>
                <w:szCs w:val="24"/>
                <w:lang w:eastAsia="en-GB"/>
              </w:rPr>
            </w:pPr>
            <w:proofErr w:type="spellStart"/>
            <w:r w:rsidRPr="00096041">
              <w:rPr>
                <w:rFonts w:ascii="Calibri" w:eastAsia="Times New Roman" w:hAnsi="Calibri" w:cs="Times New Roman"/>
                <w:color w:val="000000"/>
                <w:sz w:val="24"/>
                <w:szCs w:val="24"/>
                <w:lang w:eastAsia="en-GB"/>
              </w:rPr>
              <w:t>Sem</w:t>
            </w:r>
            <w:proofErr w:type="spellEnd"/>
            <w:r w:rsidRPr="00096041">
              <w:rPr>
                <w:rFonts w:ascii="Calibri" w:eastAsia="Times New Roman" w:hAnsi="Calibri" w:cs="Times New Roman"/>
                <w:color w:val="000000"/>
                <w:sz w:val="24"/>
                <w:szCs w:val="24"/>
                <w:lang w:eastAsia="en-GB"/>
              </w:rPr>
              <w:t xml:space="preserve"> A</w:t>
            </w:r>
          </w:p>
        </w:tc>
        <w:tc>
          <w:tcPr>
            <w:tcW w:w="440" w:type="dxa"/>
            <w:tcBorders>
              <w:top w:val="nil"/>
              <w:left w:val="nil"/>
              <w:bottom w:val="nil"/>
              <w:right w:val="nil"/>
            </w:tcBorders>
            <w:shd w:val="clear" w:color="000000" w:fill="C5D9F1"/>
            <w:noWrap/>
            <w:vAlign w:val="bottom"/>
            <w:hideMark/>
          </w:tcPr>
          <w:p w:rsidR="00265C00" w:rsidRPr="00096041" w:rsidRDefault="0013247E"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55</w:t>
            </w:r>
          </w:p>
        </w:tc>
        <w:tc>
          <w:tcPr>
            <w:tcW w:w="581" w:type="dxa"/>
            <w:tcBorders>
              <w:top w:val="nil"/>
              <w:left w:val="nil"/>
              <w:bottom w:val="nil"/>
              <w:right w:val="nil"/>
            </w:tcBorders>
            <w:shd w:val="clear" w:color="000000" w:fill="C5D9F1"/>
            <w:noWrap/>
            <w:vAlign w:val="bottom"/>
            <w:hideMark/>
          </w:tcPr>
          <w:p w:rsidR="00265C00" w:rsidRPr="00096041" w:rsidRDefault="00C668D4"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105</w:t>
            </w:r>
          </w:p>
        </w:tc>
        <w:tc>
          <w:tcPr>
            <w:tcW w:w="704" w:type="dxa"/>
            <w:tcBorders>
              <w:top w:val="nil"/>
              <w:left w:val="nil"/>
              <w:bottom w:val="nil"/>
              <w:right w:val="nil"/>
            </w:tcBorders>
            <w:shd w:val="clear" w:color="000000" w:fill="C5D9F1"/>
            <w:noWrap/>
            <w:vAlign w:val="bottom"/>
            <w:hideMark/>
          </w:tcPr>
          <w:p w:rsidR="00265C00" w:rsidRPr="00096041" w:rsidRDefault="00BC0C05"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83</w:t>
            </w:r>
          </w:p>
        </w:tc>
        <w:tc>
          <w:tcPr>
            <w:tcW w:w="607" w:type="dxa"/>
            <w:tcBorders>
              <w:top w:val="nil"/>
              <w:left w:val="nil"/>
              <w:bottom w:val="nil"/>
              <w:right w:val="nil"/>
            </w:tcBorders>
            <w:shd w:val="clear" w:color="000000" w:fill="C5D9F1"/>
            <w:noWrap/>
            <w:vAlign w:val="bottom"/>
            <w:hideMark/>
          </w:tcPr>
          <w:p w:rsidR="00265C00" w:rsidRPr="00096041" w:rsidRDefault="00BC0C05"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174</w:t>
            </w:r>
          </w:p>
        </w:tc>
        <w:tc>
          <w:tcPr>
            <w:tcW w:w="581" w:type="dxa"/>
            <w:tcBorders>
              <w:top w:val="nil"/>
              <w:left w:val="nil"/>
              <w:bottom w:val="nil"/>
              <w:right w:val="nil"/>
            </w:tcBorders>
            <w:shd w:val="clear" w:color="000000" w:fill="C5D9F1"/>
            <w:noWrap/>
            <w:vAlign w:val="bottom"/>
            <w:hideMark/>
          </w:tcPr>
          <w:p w:rsidR="00265C00" w:rsidRPr="00096041" w:rsidRDefault="00C668D4"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169</w:t>
            </w:r>
          </w:p>
        </w:tc>
        <w:tc>
          <w:tcPr>
            <w:tcW w:w="581" w:type="dxa"/>
            <w:tcBorders>
              <w:top w:val="nil"/>
              <w:left w:val="nil"/>
              <w:bottom w:val="nil"/>
              <w:right w:val="nil"/>
            </w:tcBorders>
            <w:shd w:val="clear" w:color="000000" w:fill="C5D9F1"/>
            <w:noWrap/>
            <w:vAlign w:val="bottom"/>
            <w:hideMark/>
          </w:tcPr>
          <w:p w:rsidR="00265C00" w:rsidRPr="00096041" w:rsidRDefault="00183659"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123</w:t>
            </w:r>
          </w:p>
        </w:tc>
        <w:tc>
          <w:tcPr>
            <w:tcW w:w="735" w:type="dxa"/>
            <w:tcBorders>
              <w:top w:val="nil"/>
              <w:left w:val="nil"/>
              <w:bottom w:val="nil"/>
              <w:right w:val="nil"/>
            </w:tcBorders>
            <w:shd w:val="clear" w:color="000000" w:fill="C5D9F1"/>
            <w:noWrap/>
            <w:vAlign w:val="bottom"/>
            <w:hideMark/>
          </w:tcPr>
          <w:p w:rsidR="00265C00" w:rsidRPr="00096041" w:rsidRDefault="00C92E1D"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121</w:t>
            </w:r>
          </w:p>
        </w:tc>
        <w:tc>
          <w:tcPr>
            <w:tcW w:w="1299" w:type="dxa"/>
            <w:tcBorders>
              <w:top w:val="nil"/>
              <w:left w:val="nil"/>
              <w:bottom w:val="nil"/>
              <w:right w:val="single" w:sz="4" w:space="0" w:color="auto"/>
            </w:tcBorders>
            <w:shd w:val="clear" w:color="000000" w:fill="C5D9F1"/>
            <w:noWrap/>
            <w:vAlign w:val="bottom"/>
            <w:hideMark/>
          </w:tcPr>
          <w:p w:rsidR="00265C00" w:rsidRPr="00096041" w:rsidRDefault="00C92E1D"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830</w:t>
            </w:r>
          </w:p>
        </w:tc>
      </w:tr>
      <w:tr w:rsidR="00265C00" w:rsidRPr="00096041" w:rsidTr="00B71F1C">
        <w:trPr>
          <w:trHeight w:val="300"/>
        </w:trPr>
        <w:tc>
          <w:tcPr>
            <w:tcW w:w="1701" w:type="dxa"/>
            <w:tcBorders>
              <w:top w:val="nil"/>
              <w:left w:val="single" w:sz="4" w:space="0" w:color="auto"/>
              <w:bottom w:val="nil"/>
              <w:right w:val="single" w:sz="4" w:space="0" w:color="auto"/>
            </w:tcBorders>
            <w:shd w:val="clear" w:color="auto" w:fill="auto"/>
            <w:noWrap/>
            <w:vAlign w:val="bottom"/>
            <w:hideMark/>
          </w:tcPr>
          <w:p w:rsidR="00265C00" w:rsidRPr="00096041" w:rsidRDefault="00265C00" w:rsidP="00096041">
            <w:pPr>
              <w:spacing w:after="0" w:line="240" w:lineRule="auto"/>
              <w:ind w:firstLineChars="300" w:firstLine="720"/>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Accept</w:t>
            </w:r>
          </w:p>
        </w:tc>
        <w:tc>
          <w:tcPr>
            <w:tcW w:w="440" w:type="dxa"/>
            <w:tcBorders>
              <w:top w:val="nil"/>
              <w:left w:val="nil"/>
              <w:bottom w:val="nil"/>
              <w:right w:val="nil"/>
            </w:tcBorders>
            <w:shd w:val="clear" w:color="auto" w:fill="auto"/>
            <w:noWrap/>
            <w:vAlign w:val="bottom"/>
            <w:hideMark/>
          </w:tcPr>
          <w:p w:rsidR="00265C00" w:rsidRPr="00096041" w:rsidRDefault="0013247E"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36</w:t>
            </w:r>
          </w:p>
        </w:tc>
        <w:tc>
          <w:tcPr>
            <w:tcW w:w="581" w:type="dxa"/>
            <w:tcBorders>
              <w:top w:val="nil"/>
              <w:left w:val="nil"/>
              <w:bottom w:val="nil"/>
              <w:right w:val="nil"/>
            </w:tcBorders>
            <w:shd w:val="clear" w:color="auto" w:fill="auto"/>
            <w:noWrap/>
            <w:vAlign w:val="bottom"/>
            <w:hideMark/>
          </w:tcPr>
          <w:p w:rsidR="00265C00" w:rsidRPr="00096041" w:rsidRDefault="0013247E"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38</w:t>
            </w:r>
          </w:p>
        </w:tc>
        <w:tc>
          <w:tcPr>
            <w:tcW w:w="704" w:type="dxa"/>
            <w:tcBorders>
              <w:top w:val="nil"/>
              <w:left w:val="nil"/>
              <w:bottom w:val="nil"/>
              <w:right w:val="nil"/>
            </w:tcBorders>
            <w:shd w:val="clear" w:color="auto" w:fill="auto"/>
            <w:noWrap/>
            <w:vAlign w:val="bottom"/>
            <w:hideMark/>
          </w:tcPr>
          <w:p w:rsidR="00265C00" w:rsidRPr="00096041" w:rsidRDefault="00BC0C05"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59</w:t>
            </w:r>
          </w:p>
        </w:tc>
        <w:tc>
          <w:tcPr>
            <w:tcW w:w="607" w:type="dxa"/>
            <w:tcBorders>
              <w:top w:val="nil"/>
              <w:left w:val="nil"/>
              <w:bottom w:val="nil"/>
              <w:right w:val="nil"/>
            </w:tcBorders>
            <w:shd w:val="clear" w:color="auto" w:fill="auto"/>
            <w:noWrap/>
            <w:vAlign w:val="bottom"/>
            <w:hideMark/>
          </w:tcPr>
          <w:p w:rsidR="00265C00" w:rsidRPr="00096041" w:rsidRDefault="000826E1"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128</w:t>
            </w:r>
          </w:p>
        </w:tc>
        <w:tc>
          <w:tcPr>
            <w:tcW w:w="581" w:type="dxa"/>
            <w:tcBorders>
              <w:top w:val="nil"/>
              <w:left w:val="nil"/>
              <w:bottom w:val="nil"/>
              <w:right w:val="nil"/>
            </w:tcBorders>
            <w:shd w:val="clear" w:color="auto" w:fill="auto"/>
            <w:noWrap/>
            <w:vAlign w:val="bottom"/>
            <w:hideMark/>
          </w:tcPr>
          <w:p w:rsidR="00265C00" w:rsidRPr="00096041" w:rsidRDefault="00C668D4"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106</w:t>
            </w:r>
          </w:p>
        </w:tc>
        <w:tc>
          <w:tcPr>
            <w:tcW w:w="581" w:type="dxa"/>
            <w:tcBorders>
              <w:top w:val="nil"/>
              <w:left w:val="nil"/>
              <w:bottom w:val="nil"/>
              <w:right w:val="nil"/>
            </w:tcBorders>
            <w:shd w:val="clear" w:color="auto" w:fill="auto"/>
            <w:noWrap/>
            <w:vAlign w:val="bottom"/>
            <w:hideMark/>
          </w:tcPr>
          <w:p w:rsidR="00265C00" w:rsidRPr="00096041" w:rsidRDefault="00885A30"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81</w:t>
            </w:r>
          </w:p>
        </w:tc>
        <w:tc>
          <w:tcPr>
            <w:tcW w:w="735" w:type="dxa"/>
            <w:tcBorders>
              <w:top w:val="nil"/>
              <w:left w:val="nil"/>
              <w:bottom w:val="nil"/>
              <w:right w:val="nil"/>
            </w:tcBorders>
            <w:shd w:val="clear" w:color="auto" w:fill="auto"/>
            <w:noWrap/>
            <w:vAlign w:val="bottom"/>
            <w:hideMark/>
          </w:tcPr>
          <w:p w:rsidR="00265C00" w:rsidRPr="00096041" w:rsidRDefault="00C92E1D"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78</w:t>
            </w:r>
          </w:p>
        </w:tc>
        <w:tc>
          <w:tcPr>
            <w:tcW w:w="1299" w:type="dxa"/>
            <w:tcBorders>
              <w:top w:val="nil"/>
              <w:left w:val="nil"/>
              <w:bottom w:val="nil"/>
              <w:right w:val="single" w:sz="4" w:space="0" w:color="auto"/>
            </w:tcBorders>
            <w:shd w:val="clear" w:color="auto" w:fill="auto"/>
            <w:noWrap/>
            <w:vAlign w:val="bottom"/>
            <w:hideMark/>
          </w:tcPr>
          <w:p w:rsidR="00265C00" w:rsidRPr="00096041" w:rsidRDefault="00AF3E17"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526</w:t>
            </w:r>
          </w:p>
        </w:tc>
      </w:tr>
      <w:tr w:rsidR="00265C00" w:rsidRPr="00096041" w:rsidTr="00B71F1C">
        <w:trPr>
          <w:trHeight w:val="300"/>
        </w:trPr>
        <w:tc>
          <w:tcPr>
            <w:tcW w:w="1701" w:type="dxa"/>
            <w:tcBorders>
              <w:top w:val="nil"/>
              <w:left w:val="single" w:sz="4" w:space="0" w:color="auto"/>
              <w:bottom w:val="nil"/>
              <w:right w:val="single" w:sz="4" w:space="0" w:color="auto"/>
            </w:tcBorders>
            <w:shd w:val="clear" w:color="auto" w:fill="auto"/>
            <w:noWrap/>
            <w:vAlign w:val="bottom"/>
            <w:hideMark/>
          </w:tcPr>
          <w:p w:rsidR="00265C00" w:rsidRPr="00096041" w:rsidRDefault="00265C00" w:rsidP="00096041">
            <w:pPr>
              <w:spacing w:after="0" w:line="240" w:lineRule="auto"/>
              <w:ind w:firstLineChars="300" w:firstLine="720"/>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Reject</w:t>
            </w:r>
          </w:p>
        </w:tc>
        <w:tc>
          <w:tcPr>
            <w:tcW w:w="440" w:type="dxa"/>
            <w:tcBorders>
              <w:top w:val="nil"/>
              <w:left w:val="nil"/>
              <w:bottom w:val="nil"/>
              <w:right w:val="nil"/>
            </w:tcBorders>
            <w:shd w:val="clear" w:color="auto" w:fill="auto"/>
            <w:noWrap/>
            <w:vAlign w:val="bottom"/>
            <w:hideMark/>
          </w:tcPr>
          <w:p w:rsidR="00265C00" w:rsidRPr="00096041" w:rsidRDefault="0013247E"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19</w:t>
            </w:r>
          </w:p>
        </w:tc>
        <w:tc>
          <w:tcPr>
            <w:tcW w:w="581" w:type="dxa"/>
            <w:tcBorders>
              <w:top w:val="nil"/>
              <w:left w:val="nil"/>
              <w:bottom w:val="nil"/>
              <w:right w:val="nil"/>
            </w:tcBorders>
            <w:shd w:val="clear" w:color="auto" w:fill="auto"/>
            <w:noWrap/>
            <w:vAlign w:val="bottom"/>
            <w:hideMark/>
          </w:tcPr>
          <w:p w:rsidR="00265C00" w:rsidRPr="00096041" w:rsidRDefault="00C668D4"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67</w:t>
            </w:r>
          </w:p>
        </w:tc>
        <w:tc>
          <w:tcPr>
            <w:tcW w:w="704" w:type="dxa"/>
            <w:tcBorders>
              <w:top w:val="nil"/>
              <w:left w:val="nil"/>
              <w:bottom w:val="nil"/>
              <w:right w:val="nil"/>
            </w:tcBorders>
            <w:shd w:val="clear" w:color="auto" w:fill="auto"/>
            <w:noWrap/>
            <w:vAlign w:val="bottom"/>
            <w:hideMark/>
          </w:tcPr>
          <w:p w:rsidR="00265C00" w:rsidRPr="00096041" w:rsidRDefault="00BC0C05"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24</w:t>
            </w:r>
          </w:p>
        </w:tc>
        <w:tc>
          <w:tcPr>
            <w:tcW w:w="607" w:type="dxa"/>
            <w:tcBorders>
              <w:top w:val="nil"/>
              <w:left w:val="nil"/>
              <w:bottom w:val="nil"/>
              <w:right w:val="nil"/>
            </w:tcBorders>
            <w:shd w:val="clear" w:color="auto" w:fill="auto"/>
            <w:noWrap/>
            <w:vAlign w:val="bottom"/>
            <w:hideMark/>
          </w:tcPr>
          <w:p w:rsidR="00265C00" w:rsidRPr="00096041" w:rsidRDefault="000826E1"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46</w:t>
            </w:r>
          </w:p>
        </w:tc>
        <w:tc>
          <w:tcPr>
            <w:tcW w:w="581" w:type="dxa"/>
            <w:tcBorders>
              <w:top w:val="nil"/>
              <w:left w:val="nil"/>
              <w:bottom w:val="nil"/>
              <w:right w:val="nil"/>
            </w:tcBorders>
            <w:shd w:val="clear" w:color="auto" w:fill="auto"/>
            <w:noWrap/>
            <w:vAlign w:val="bottom"/>
            <w:hideMark/>
          </w:tcPr>
          <w:p w:rsidR="00265C00" w:rsidRPr="00096041" w:rsidRDefault="00C668D4"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63</w:t>
            </w:r>
          </w:p>
        </w:tc>
        <w:tc>
          <w:tcPr>
            <w:tcW w:w="581" w:type="dxa"/>
            <w:tcBorders>
              <w:top w:val="nil"/>
              <w:left w:val="nil"/>
              <w:bottom w:val="nil"/>
              <w:right w:val="nil"/>
            </w:tcBorders>
            <w:shd w:val="clear" w:color="auto" w:fill="auto"/>
            <w:noWrap/>
            <w:vAlign w:val="bottom"/>
            <w:hideMark/>
          </w:tcPr>
          <w:p w:rsidR="00265C00" w:rsidRPr="00096041" w:rsidRDefault="00885A30"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42</w:t>
            </w:r>
          </w:p>
        </w:tc>
        <w:tc>
          <w:tcPr>
            <w:tcW w:w="735" w:type="dxa"/>
            <w:tcBorders>
              <w:top w:val="nil"/>
              <w:left w:val="nil"/>
              <w:bottom w:val="nil"/>
              <w:right w:val="nil"/>
            </w:tcBorders>
            <w:shd w:val="clear" w:color="auto" w:fill="auto"/>
            <w:noWrap/>
            <w:vAlign w:val="bottom"/>
            <w:hideMark/>
          </w:tcPr>
          <w:p w:rsidR="00265C00" w:rsidRPr="00096041" w:rsidRDefault="00C92E1D"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43</w:t>
            </w:r>
          </w:p>
        </w:tc>
        <w:tc>
          <w:tcPr>
            <w:tcW w:w="1299" w:type="dxa"/>
            <w:tcBorders>
              <w:top w:val="nil"/>
              <w:left w:val="nil"/>
              <w:bottom w:val="nil"/>
              <w:right w:val="single" w:sz="4" w:space="0" w:color="auto"/>
            </w:tcBorders>
            <w:shd w:val="clear" w:color="auto" w:fill="auto"/>
            <w:noWrap/>
            <w:vAlign w:val="bottom"/>
            <w:hideMark/>
          </w:tcPr>
          <w:p w:rsidR="00265C00" w:rsidRPr="00096041" w:rsidRDefault="00AF3E17"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304</w:t>
            </w:r>
          </w:p>
        </w:tc>
      </w:tr>
      <w:tr w:rsidR="00265C00" w:rsidRPr="00096041" w:rsidTr="00B71F1C">
        <w:trPr>
          <w:trHeight w:val="300"/>
        </w:trPr>
        <w:tc>
          <w:tcPr>
            <w:tcW w:w="1701" w:type="dxa"/>
            <w:tcBorders>
              <w:top w:val="nil"/>
              <w:left w:val="single" w:sz="4" w:space="0" w:color="auto"/>
              <w:bottom w:val="nil"/>
              <w:right w:val="single" w:sz="4" w:space="0" w:color="auto"/>
            </w:tcBorders>
            <w:shd w:val="clear" w:color="000000" w:fill="C5D9F1"/>
            <w:noWrap/>
            <w:vAlign w:val="bottom"/>
            <w:hideMark/>
          </w:tcPr>
          <w:p w:rsidR="00265C00" w:rsidRPr="00096041" w:rsidRDefault="00265C00" w:rsidP="00265C00">
            <w:pPr>
              <w:spacing w:after="0" w:line="240" w:lineRule="auto"/>
              <w:rPr>
                <w:rFonts w:ascii="Calibri" w:eastAsia="Times New Roman" w:hAnsi="Calibri" w:cs="Times New Roman"/>
                <w:color w:val="000000"/>
                <w:sz w:val="24"/>
                <w:szCs w:val="24"/>
                <w:lang w:eastAsia="en-GB"/>
              </w:rPr>
            </w:pPr>
            <w:proofErr w:type="spellStart"/>
            <w:r w:rsidRPr="00096041">
              <w:rPr>
                <w:rFonts w:ascii="Calibri" w:eastAsia="Times New Roman" w:hAnsi="Calibri" w:cs="Times New Roman"/>
                <w:color w:val="000000"/>
                <w:sz w:val="24"/>
                <w:szCs w:val="24"/>
                <w:lang w:eastAsia="en-GB"/>
              </w:rPr>
              <w:t>Sem</w:t>
            </w:r>
            <w:proofErr w:type="spellEnd"/>
            <w:r w:rsidRPr="00096041">
              <w:rPr>
                <w:rFonts w:ascii="Calibri" w:eastAsia="Times New Roman" w:hAnsi="Calibri" w:cs="Times New Roman"/>
                <w:color w:val="000000"/>
                <w:sz w:val="24"/>
                <w:szCs w:val="24"/>
                <w:lang w:eastAsia="en-GB"/>
              </w:rPr>
              <w:t xml:space="preserve"> B</w:t>
            </w:r>
          </w:p>
        </w:tc>
        <w:tc>
          <w:tcPr>
            <w:tcW w:w="440" w:type="dxa"/>
            <w:tcBorders>
              <w:top w:val="nil"/>
              <w:left w:val="nil"/>
              <w:bottom w:val="nil"/>
              <w:right w:val="nil"/>
            </w:tcBorders>
            <w:shd w:val="clear" w:color="000000" w:fill="C5D9F1"/>
            <w:noWrap/>
            <w:vAlign w:val="bottom"/>
            <w:hideMark/>
          </w:tcPr>
          <w:p w:rsidR="00265C00" w:rsidRPr="00096041" w:rsidRDefault="00E91916"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127</w:t>
            </w:r>
          </w:p>
        </w:tc>
        <w:tc>
          <w:tcPr>
            <w:tcW w:w="581" w:type="dxa"/>
            <w:tcBorders>
              <w:top w:val="nil"/>
              <w:left w:val="nil"/>
              <w:bottom w:val="nil"/>
              <w:right w:val="nil"/>
            </w:tcBorders>
            <w:shd w:val="clear" w:color="000000" w:fill="C5D9F1"/>
            <w:noWrap/>
            <w:vAlign w:val="bottom"/>
            <w:hideMark/>
          </w:tcPr>
          <w:p w:rsidR="00265C00" w:rsidRPr="00096041" w:rsidRDefault="00E91916"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121</w:t>
            </w:r>
          </w:p>
        </w:tc>
        <w:tc>
          <w:tcPr>
            <w:tcW w:w="704" w:type="dxa"/>
            <w:tcBorders>
              <w:top w:val="nil"/>
              <w:left w:val="nil"/>
              <w:bottom w:val="nil"/>
              <w:right w:val="nil"/>
            </w:tcBorders>
            <w:shd w:val="clear" w:color="000000" w:fill="C5D9F1"/>
            <w:noWrap/>
            <w:vAlign w:val="bottom"/>
            <w:hideMark/>
          </w:tcPr>
          <w:p w:rsidR="00265C00" w:rsidRPr="00096041" w:rsidRDefault="00322D6E"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9</w:t>
            </w:r>
            <w:r w:rsidR="00E91916" w:rsidRPr="00096041">
              <w:rPr>
                <w:rFonts w:ascii="Calibri" w:eastAsia="Times New Roman" w:hAnsi="Calibri" w:cs="Times New Roman"/>
                <w:color w:val="000000" w:themeColor="text1"/>
                <w:sz w:val="24"/>
                <w:szCs w:val="24"/>
                <w:lang w:eastAsia="en-GB"/>
              </w:rPr>
              <w:t>5</w:t>
            </w:r>
          </w:p>
        </w:tc>
        <w:tc>
          <w:tcPr>
            <w:tcW w:w="607" w:type="dxa"/>
            <w:tcBorders>
              <w:top w:val="nil"/>
              <w:left w:val="nil"/>
              <w:bottom w:val="nil"/>
              <w:right w:val="nil"/>
            </w:tcBorders>
            <w:shd w:val="clear" w:color="000000" w:fill="C5D9F1"/>
            <w:noWrap/>
            <w:vAlign w:val="bottom"/>
            <w:hideMark/>
          </w:tcPr>
          <w:p w:rsidR="00265C00" w:rsidRPr="00096041" w:rsidRDefault="00E91916"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157</w:t>
            </w:r>
          </w:p>
        </w:tc>
        <w:tc>
          <w:tcPr>
            <w:tcW w:w="581" w:type="dxa"/>
            <w:tcBorders>
              <w:top w:val="nil"/>
              <w:left w:val="nil"/>
              <w:bottom w:val="nil"/>
              <w:right w:val="nil"/>
            </w:tcBorders>
            <w:shd w:val="clear" w:color="000000" w:fill="C5D9F1"/>
            <w:noWrap/>
            <w:vAlign w:val="bottom"/>
            <w:hideMark/>
          </w:tcPr>
          <w:p w:rsidR="00265C00" w:rsidRPr="00096041" w:rsidRDefault="00E91916"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153</w:t>
            </w:r>
          </w:p>
        </w:tc>
        <w:tc>
          <w:tcPr>
            <w:tcW w:w="581" w:type="dxa"/>
            <w:tcBorders>
              <w:top w:val="nil"/>
              <w:left w:val="nil"/>
              <w:bottom w:val="nil"/>
              <w:right w:val="nil"/>
            </w:tcBorders>
            <w:shd w:val="clear" w:color="000000" w:fill="C5D9F1"/>
            <w:noWrap/>
            <w:vAlign w:val="bottom"/>
            <w:hideMark/>
          </w:tcPr>
          <w:p w:rsidR="00265C00" w:rsidRPr="00096041" w:rsidRDefault="00E91916"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112</w:t>
            </w:r>
          </w:p>
        </w:tc>
        <w:tc>
          <w:tcPr>
            <w:tcW w:w="735" w:type="dxa"/>
            <w:tcBorders>
              <w:top w:val="nil"/>
              <w:left w:val="nil"/>
              <w:bottom w:val="nil"/>
              <w:right w:val="nil"/>
            </w:tcBorders>
            <w:shd w:val="clear" w:color="000000" w:fill="C5D9F1"/>
            <w:noWrap/>
            <w:vAlign w:val="bottom"/>
            <w:hideMark/>
          </w:tcPr>
          <w:p w:rsidR="00265C00" w:rsidRPr="00096041" w:rsidRDefault="00E91916"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69</w:t>
            </w:r>
          </w:p>
        </w:tc>
        <w:tc>
          <w:tcPr>
            <w:tcW w:w="1299" w:type="dxa"/>
            <w:tcBorders>
              <w:top w:val="nil"/>
              <w:left w:val="nil"/>
              <w:bottom w:val="nil"/>
              <w:right w:val="single" w:sz="4" w:space="0" w:color="auto"/>
            </w:tcBorders>
            <w:shd w:val="clear" w:color="000000" w:fill="C5D9F1"/>
            <w:noWrap/>
            <w:vAlign w:val="bottom"/>
            <w:hideMark/>
          </w:tcPr>
          <w:p w:rsidR="00265C00" w:rsidRPr="00096041" w:rsidRDefault="00265C00"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8</w:t>
            </w:r>
            <w:r w:rsidR="00322D6E" w:rsidRPr="00096041">
              <w:rPr>
                <w:rFonts w:ascii="Calibri" w:eastAsia="Times New Roman" w:hAnsi="Calibri" w:cs="Times New Roman"/>
                <w:color w:val="000000" w:themeColor="text1"/>
                <w:sz w:val="24"/>
                <w:szCs w:val="24"/>
                <w:lang w:eastAsia="en-GB"/>
              </w:rPr>
              <w:t>3</w:t>
            </w:r>
            <w:r w:rsidR="00E91916" w:rsidRPr="00096041">
              <w:rPr>
                <w:rFonts w:ascii="Calibri" w:eastAsia="Times New Roman" w:hAnsi="Calibri" w:cs="Times New Roman"/>
                <w:color w:val="000000" w:themeColor="text1"/>
                <w:sz w:val="24"/>
                <w:szCs w:val="24"/>
                <w:lang w:eastAsia="en-GB"/>
              </w:rPr>
              <w:t>4</w:t>
            </w:r>
          </w:p>
        </w:tc>
      </w:tr>
      <w:tr w:rsidR="00265C00" w:rsidRPr="00096041" w:rsidTr="00B71F1C">
        <w:trPr>
          <w:trHeight w:val="300"/>
        </w:trPr>
        <w:tc>
          <w:tcPr>
            <w:tcW w:w="1701" w:type="dxa"/>
            <w:tcBorders>
              <w:top w:val="nil"/>
              <w:left w:val="single" w:sz="4" w:space="0" w:color="auto"/>
              <w:bottom w:val="nil"/>
              <w:right w:val="single" w:sz="4" w:space="0" w:color="auto"/>
            </w:tcBorders>
            <w:shd w:val="clear" w:color="auto" w:fill="auto"/>
            <w:noWrap/>
            <w:vAlign w:val="bottom"/>
            <w:hideMark/>
          </w:tcPr>
          <w:p w:rsidR="00265C00" w:rsidRPr="00096041" w:rsidRDefault="00265C00" w:rsidP="00096041">
            <w:pPr>
              <w:spacing w:after="0" w:line="240" w:lineRule="auto"/>
              <w:ind w:firstLineChars="300" w:firstLine="720"/>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Accept</w:t>
            </w:r>
          </w:p>
        </w:tc>
        <w:tc>
          <w:tcPr>
            <w:tcW w:w="440" w:type="dxa"/>
            <w:tcBorders>
              <w:top w:val="nil"/>
              <w:left w:val="nil"/>
              <w:bottom w:val="nil"/>
              <w:right w:val="nil"/>
            </w:tcBorders>
            <w:shd w:val="clear" w:color="auto" w:fill="auto"/>
            <w:noWrap/>
            <w:vAlign w:val="bottom"/>
            <w:hideMark/>
          </w:tcPr>
          <w:p w:rsidR="00265C00" w:rsidRPr="00096041" w:rsidRDefault="00E91916"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63</w:t>
            </w:r>
          </w:p>
        </w:tc>
        <w:tc>
          <w:tcPr>
            <w:tcW w:w="581" w:type="dxa"/>
            <w:tcBorders>
              <w:top w:val="nil"/>
              <w:left w:val="nil"/>
              <w:bottom w:val="nil"/>
              <w:right w:val="nil"/>
            </w:tcBorders>
            <w:shd w:val="clear" w:color="auto" w:fill="auto"/>
            <w:noWrap/>
            <w:vAlign w:val="bottom"/>
            <w:hideMark/>
          </w:tcPr>
          <w:p w:rsidR="00265C00" w:rsidRPr="00096041" w:rsidRDefault="003D733C"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49</w:t>
            </w:r>
          </w:p>
        </w:tc>
        <w:tc>
          <w:tcPr>
            <w:tcW w:w="704" w:type="dxa"/>
            <w:tcBorders>
              <w:top w:val="nil"/>
              <w:left w:val="nil"/>
              <w:bottom w:val="nil"/>
              <w:right w:val="nil"/>
            </w:tcBorders>
            <w:shd w:val="clear" w:color="auto" w:fill="auto"/>
            <w:noWrap/>
            <w:vAlign w:val="bottom"/>
            <w:hideMark/>
          </w:tcPr>
          <w:p w:rsidR="00265C00" w:rsidRPr="00096041" w:rsidRDefault="00265C00"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6</w:t>
            </w:r>
            <w:r w:rsidR="00322D6E" w:rsidRPr="00096041">
              <w:rPr>
                <w:rFonts w:ascii="Calibri" w:eastAsia="Times New Roman" w:hAnsi="Calibri" w:cs="Times New Roman"/>
                <w:color w:val="000000" w:themeColor="text1"/>
                <w:sz w:val="24"/>
                <w:szCs w:val="24"/>
                <w:lang w:eastAsia="en-GB"/>
              </w:rPr>
              <w:t>5</w:t>
            </w:r>
          </w:p>
        </w:tc>
        <w:tc>
          <w:tcPr>
            <w:tcW w:w="607" w:type="dxa"/>
            <w:tcBorders>
              <w:top w:val="nil"/>
              <w:left w:val="nil"/>
              <w:bottom w:val="nil"/>
              <w:right w:val="nil"/>
            </w:tcBorders>
            <w:shd w:val="clear" w:color="auto" w:fill="auto"/>
            <w:noWrap/>
            <w:vAlign w:val="bottom"/>
            <w:hideMark/>
          </w:tcPr>
          <w:p w:rsidR="00265C00" w:rsidRPr="00096041" w:rsidRDefault="00265C00"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103</w:t>
            </w:r>
          </w:p>
        </w:tc>
        <w:tc>
          <w:tcPr>
            <w:tcW w:w="581" w:type="dxa"/>
            <w:tcBorders>
              <w:top w:val="nil"/>
              <w:left w:val="nil"/>
              <w:bottom w:val="nil"/>
              <w:right w:val="nil"/>
            </w:tcBorders>
            <w:shd w:val="clear" w:color="auto" w:fill="auto"/>
            <w:noWrap/>
            <w:vAlign w:val="bottom"/>
            <w:hideMark/>
          </w:tcPr>
          <w:p w:rsidR="00265C00" w:rsidRPr="00096041" w:rsidRDefault="00265C00"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91</w:t>
            </w:r>
          </w:p>
        </w:tc>
        <w:tc>
          <w:tcPr>
            <w:tcW w:w="581" w:type="dxa"/>
            <w:tcBorders>
              <w:top w:val="nil"/>
              <w:left w:val="nil"/>
              <w:bottom w:val="nil"/>
              <w:right w:val="nil"/>
            </w:tcBorders>
            <w:shd w:val="clear" w:color="auto" w:fill="auto"/>
            <w:noWrap/>
            <w:vAlign w:val="bottom"/>
            <w:hideMark/>
          </w:tcPr>
          <w:p w:rsidR="00265C00" w:rsidRPr="00096041" w:rsidRDefault="00692056"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6</w:t>
            </w:r>
            <w:r w:rsidR="00265C00" w:rsidRPr="00096041">
              <w:rPr>
                <w:rFonts w:ascii="Calibri" w:eastAsia="Times New Roman" w:hAnsi="Calibri" w:cs="Times New Roman"/>
                <w:color w:val="000000" w:themeColor="text1"/>
                <w:sz w:val="24"/>
                <w:szCs w:val="24"/>
                <w:lang w:eastAsia="en-GB"/>
              </w:rPr>
              <w:t>1</w:t>
            </w:r>
          </w:p>
        </w:tc>
        <w:tc>
          <w:tcPr>
            <w:tcW w:w="735" w:type="dxa"/>
            <w:tcBorders>
              <w:top w:val="nil"/>
              <w:left w:val="nil"/>
              <w:bottom w:val="nil"/>
              <w:right w:val="nil"/>
            </w:tcBorders>
            <w:shd w:val="clear" w:color="auto" w:fill="auto"/>
            <w:noWrap/>
            <w:vAlign w:val="bottom"/>
            <w:hideMark/>
          </w:tcPr>
          <w:p w:rsidR="00265C00" w:rsidRPr="00096041" w:rsidRDefault="00692056"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3</w:t>
            </w:r>
            <w:r w:rsidR="00265C00" w:rsidRPr="00096041">
              <w:rPr>
                <w:rFonts w:ascii="Calibri" w:eastAsia="Times New Roman" w:hAnsi="Calibri" w:cs="Times New Roman"/>
                <w:color w:val="000000" w:themeColor="text1"/>
                <w:sz w:val="24"/>
                <w:szCs w:val="24"/>
                <w:lang w:eastAsia="en-GB"/>
              </w:rPr>
              <w:t>4</w:t>
            </w:r>
          </w:p>
        </w:tc>
        <w:tc>
          <w:tcPr>
            <w:tcW w:w="1299" w:type="dxa"/>
            <w:tcBorders>
              <w:top w:val="nil"/>
              <w:left w:val="nil"/>
              <w:bottom w:val="nil"/>
              <w:right w:val="single" w:sz="4" w:space="0" w:color="auto"/>
            </w:tcBorders>
            <w:shd w:val="clear" w:color="auto" w:fill="auto"/>
            <w:noWrap/>
            <w:vAlign w:val="bottom"/>
            <w:hideMark/>
          </w:tcPr>
          <w:p w:rsidR="00265C00" w:rsidRPr="00096041" w:rsidRDefault="00692056"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463</w:t>
            </w:r>
          </w:p>
        </w:tc>
      </w:tr>
      <w:tr w:rsidR="00265C00" w:rsidRPr="00096041" w:rsidTr="00B71F1C">
        <w:trPr>
          <w:trHeight w:val="300"/>
        </w:trPr>
        <w:tc>
          <w:tcPr>
            <w:tcW w:w="1701" w:type="dxa"/>
            <w:tcBorders>
              <w:top w:val="nil"/>
              <w:left w:val="single" w:sz="4" w:space="0" w:color="auto"/>
              <w:bottom w:val="nil"/>
              <w:right w:val="single" w:sz="4" w:space="0" w:color="auto"/>
            </w:tcBorders>
            <w:shd w:val="clear" w:color="auto" w:fill="auto"/>
            <w:noWrap/>
            <w:vAlign w:val="bottom"/>
            <w:hideMark/>
          </w:tcPr>
          <w:p w:rsidR="00265C00" w:rsidRPr="00096041" w:rsidRDefault="00265C00" w:rsidP="00096041">
            <w:pPr>
              <w:spacing w:after="0" w:line="240" w:lineRule="auto"/>
              <w:ind w:firstLineChars="300" w:firstLine="720"/>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Reject</w:t>
            </w:r>
          </w:p>
        </w:tc>
        <w:tc>
          <w:tcPr>
            <w:tcW w:w="440" w:type="dxa"/>
            <w:tcBorders>
              <w:top w:val="nil"/>
              <w:left w:val="nil"/>
              <w:bottom w:val="nil"/>
              <w:right w:val="nil"/>
            </w:tcBorders>
            <w:shd w:val="clear" w:color="auto" w:fill="auto"/>
            <w:noWrap/>
            <w:vAlign w:val="bottom"/>
            <w:hideMark/>
          </w:tcPr>
          <w:p w:rsidR="00265C00" w:rsidRPr="00096041" w:rsidRDefault="00265C00"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6</w:t>
            </w:r>
            <w:r w:rsidR="00E91916" w:rsidRPr="00096041">
              <w:rPr>
                <w:rFonts w:ascii="Calibri" w:eastAsia="Times New Roman" w:hAnsi="Calibri" w:cs="Times New Roman"/>
                <w:color w:val="000000" w:themeColor="text1"/>
                <w:sz w:val="24"/>
                <w:szCs w:val="24"/>
                <w:lang w:eastAsia="en-GB"/>
              </w:rPr>
              <w:t>4</w:t>
            </w:r>
          </w:p>
        </w:tc>
        <w:tc>
          <w:tcPr>
            <w:tcW w:w="581" w:type="dxa"/>
            <w:tcBorders>
              <w:top w:val="nil"/>
              <w:left w:val="nil"/>
              <w:bottom w:val="nil"/>
              <w:right w:val="nil"/>
            </w:tcBorders>
            <w:shd w:val="clear" w:color="auto" w:fill="auto"/>
            <w:noWrap/>
            <w:vAlign w:val="bottom"/>
            <w:hideMark/>
          </w:tcPr>
          <w:p w:rsidR="00265C00" w:rsidRPr="00096041" w:rsidRDefault="003D733C"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72</w:t>
            </w:r>
          </w:p>
        </w:tc>
        <w:tc>
          <w:tcPr>
            <w:tcW w:w="704" w:type="dxa"/>
            <w:tcBorders>
              <w:top w:val="nil"/>
              <w:left w:val="nil"/>
              <w:bottom w:val="nil"/>
              <w:right w:val="nil"/>
            </w:tcBorders>
            <w:shd w:val="clear" w:color="auto" w:fill="auto"/>
            <w:noWrap/>
            <w:vAlign w:val="bottom"/>
            <w:hideMark/>
          </w:tcPr>
          <w:p w:rsidR="00265C00" w:rsidRPr="00096041" w:rsidRDefault="00322D6E"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40</w:t>
            </w:r>
          </w:p>
        </w:tc>
        <w:tc>
          <w:tcPr>
            <w:tcW w:w="607" w:type="dxa"/>
            <w:tcBorders>
              <w:top w:val="nil"/>
              <w:left w:val="nil"/>
              <w:bottom w:val="nil"/>
              <w:right w:val="nil"/>
            </w:tcBorders>
            <w:shd w:val="clear" w:color="auto" w:fill="auto"/>
            <w:noWrap/>
            <w:vAlign w:val="bottom"/>
            <w:hideMark/>
          </w:tcPr>
          <w:p w:rsidR="00265C00" w:rsidRPr="00096041" w:rsidRDefault="0017110F"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54</w:t>
            </w:r>
          </w:p>
        </w:tc>
        <w:tc>
          <w:tcPr>
            <w:tcW w:w="581" w:type="dxa"/>
            <w:tcBorders>
              <w:top w:val="nil"/>
              <w:left w:val="nil"/>
              <w:bottom w:val="nil"/>
              <w:right w:val="nil"/>
            </w:tcBorders>
            <w:shd w:val="clear" w:color="auto" w:fill="auto"/>
            <w:noWrap/>
            <w:vAlign w:val="bottom"/>
            <w:hideMark/>
          </w:tcPr>
          <w:p w:rsidR="00265C00" w:rsidRPr="00096041" w:rsidRDefault="0017110F"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62</w:t>
            </w:r>
          </w:p>
        </w:tc>
        <w:tc>
          <w:tcPr>
            <w:tcW w:w="581" w:type="dxa"/>
            <w:tcBorders>
              <w:top w:val="nil"/>
              <w:left w:val="nil"/>
              <w:bottom w:val="nil"/>
              <w:right w:val="nil"/>
            </w:tcBorders>
            <w:shd w:val="clear" w:color="auto" w:fill="auto"/>
            <w:noWrap/>
            <w:vAlign w:val="bottom"/>
            <w:hideMark/>
          </w:tcPr>
          <w:p w:rsidR="00265C00" w:rsidRPr="00096041" w:rsidRDefault="00692056"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51</w:t>
            </w:r>
          </w:p>
        </w:tc>
        <w:tc>
          <w:tcPr>
            <w:tcW w:w="735" w:type="dxa"/>
            <w:tcBorders>
              <w:top w:val="nil"/>
              <w:left w:val="nil"/>
              <w:bottom w:val="nil"/>
              <w:right w:val="nil"/>
            </w:tcBorders>
            <w:shd w:val="clear" w:color="auto" w:fill="auto"/>
            <w:noWrap/>
            <w:vAlign w:val="bottom"/>
            <w:hideMark/>
          </w:tcPr>
          <w:p w:rsidR="00265C00" w:rsidRPr="00096041" w:rsidRDefault="00692056"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35</w:t>
            </w:r>
          </w:p>
        </w:tc>
        <w:tc>
          <w:tcPr>
            <w:tcW w:w="1299" w:type="dxa"/>
            <w:tcBorders>
              <w:top w:val="nil"/>
              <w:left w:val="nil"/>
              <w:bottom w:val="nil"/>
              <w:right w:val="single" w:sz="4" w:space="0" w:color="auto"/>
            </w:tcBorders>
            <w:shd w:val="clear" w:color="auto" w:fill="auto"/>
            <w:noWrap/>
            <w:vAlign w:val="bottom"/>
            <w:hideMark/>
          </w:tcPr>
          <w:p w:rsidR="00265C00" w:rsidRPr="00096041" w:rsidRDefault="00692056" w:rsidP="00B20620">
            <w:pPr>
              <w:spacing w:after="0" w:line="240" w:lineRule="auto"/>
              <w:jc w:val="center"/>
              <w:rPr>
                <w:rFonts w:ascii="Calibri" w:eastAsia="Times New Roman" w:hAnsi="Calibri" w:cs="Times New Roman"/>
                <w:color w:val="000000" w:themeColor="text1"/>
                <w:sz w:val="24"/>
                <w:szCs w:val="24"/>
                <w:lang w:eastAsia="en-GB"/>
              </w:rPr>
            </w:pPr>
            <w:r w:rsidRPr="00096041">
              <w:rPr>
                <w:rFonts w:ascii="Calibri" w:eastAsia="Times New Roman" w:hAnsi="Calibri" w:cs="Times New Roman"/>
                <w:color w:val="000000" w:themeColor="text1"/>
                <w:sz w:val="24"/>
                <w:szCs w:val="24"/>
                <w:lang w:eastAsia="en-GB"/>
              </w:rPr>
              <w:t>378</w:t>
            </w:r>
          </w:p>
        </w:tc>
      </w:tr>
      <w:tr w:rsidR="00265C00" w:rsidRPr="00096041" w:rsidTr="00B71F1C">
        <w:trPr>
          <w:trHeight w:val="300"/>
        </w:trPr>
        <w:tc>
          <w:tcPr>
            <w:tcW w:w="1701" w:type="dxa"/>
            <w:tcBorders>
              <w:top w:val="nil"/>
              <w:left w:val="single" w:sz="4" w:space="0" w:color="auto"/>
              <w:bottom w:val="nil"/>
              <w:right w:val="single" w:sz="4" w:space="0" w:color="auto"/>
            </w:tcBorders>
            <w:shd w:val="clear" w:color="000000" w:fill="C5D9F1"/>
            <w:noWrap/>
            <w:vAlign w:val="bottom"/>
            <w:hideMark/>
          </w:tcPr>
          <w:p w:rsidR="00265C00" w:rsidRPr="00096041" w:rsidRDefault="00265C00" w:rsidP="00265C00">
            <w:pPr>
              <w:spacing w:after="0" w:line="240" w:lineRule="auto"/>
              <w:rPr>
                <w:rFonts w:ascii="Calibri" w:eastAsia="Times New Roman" w:hAnsi="Calibri" w:cs="Times New Roman"/>
                <w:color w:val="000000"/>
                <w:sz w:val="24"/>
                <w:szCs w:val="24"/>
                <w:lang w:eastAsia="en-GB"/>
              </w:rPr>
            </w:pPr>
            <w:proofErr w:type="spellStart"/>
            <w:r w:rsidRPr="00096041">
              <w:rPr>
                <w:rFonts w:ascii="Calibri" w:eastAsia="Times New Roman" w:hAnsi="Calibri" w:cs="Times New Roman"/>
                <w:color w:val="000000"/>
                <w:sz w:val="24"/>
                <w:szCs w:val="24"/>
                <w:lang w:eastAsia="en-GB"/>
              </w:rPr>
              <w:t>Resit</w:t>
            </w:r>
            <w:proofErr w:type="spellEnd"/>
          </w:p>
        </w:tc>
        <w:tc>
          <w:tcPr>
            <w:tcW w:w="440" w:type="dxa"/>
            <w:tcBorders>
              <w:top w:val="nil"/>
              <w:left w:val="nil"/>
              <w:bottom w:val="nil"/>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3</w:t>
            </w:r>
          </w:p>
        </w:tc>
        <w:tc>
          <w:tcPr>
            <w:tcW w:w="581" w:type="dxa"/>
            <w:tcBorders>
              <w:top w:val="nil"/>
              <w:left w:val="nil"/>
              <w:bottom w:val="nil"/>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19</w:t>
            </w:r>
          </w:p>
        </w:tc>
        <w:tc>
          <w:tcPr>
            <w:tcW w:w="704" w:type="dxa"/>
            <w:tcBorders>
              <w:top w:val="nil"/>
              <w:left w:val="nil"/>
              <w:bottom w:val="nil"/>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47</w:t>
            </w:r>
          </w:p>
        </w:tc>
        <w:tc>
          <w:tcPr>
            <w:tcW w:w="607" w:type="dxa"/>
            <w:tcBorders>
              <w:top w:val="nil"/>
              <w:left w:val="nil"/>
              <w:bottom w:val="nil"/>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39</w:t>
            </w:r>
          </w:p>
        </w:tc>
        <w:tc>
          <w:tcPr>
            <w:tcW w:w="581" w:type="dxa"/>
            <w:tcBorders>
              <w:top w:val="nil"/>
              <w:left w:val="nil"/>
              <w:bottom w:val="nil"/>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44</w:t>
            </w:r>
          </w:p>
        </w:tc>
        <w:tc>
          <w:tcPr>
            <w:tcW w:w="581" w:type="dxa"/>
            <w:tcBorders>
              <w:top w:val="nil"/>
              <w:left w:val="nil"/>
              <w:bottom w:val="nil"/>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18</w:t>
            </w:r>
          </w:p>
        </w:tc>
        <w:tc>
          <w:tcPr>
            <w:tcW w:w="735" w:type="dxa"/>
            <w:tcBorders>
              <w:top w:val="nil"/>
              <w:left w:val="nil"/>
              <w:bottom w:val="nil"/>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13</w:t>
            </w:r>
          </w:p>
        </w:tc>
        <w:tc>
          <w:tcPr>
            <w:tcW w:w="1299" w:type="dxa"/>
            <w:tcBorders>
              <w:top w:val="nil"/>
              <w:left w:val="nil"/>
              <w:bottom w:val="nil"/>
              <w:right w:val="single" w:sz="4" w:space="0" w:color="auto"/>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183</w:t>
            </w:r>
          </w:p>
        </w:tc>
      </w:tr>
      <w:tr w:rsidR="00265C00" w:rsidRPr="00096041" w:rsidTr="00B71F1C">
        <w:trPr>
          <w:trHeight w:val="300"/>
        </w:trPr>
        <w:tc>
          <w:tcPr>
            <w:tcW w:w="1701" w:type="dxa"/>
            <w:tcBorders>
              <w:top w:val="nil"/>
              <w:left w:val="single" w:sz="4" w:space="0" w:color="auto"/>
              <w:bottom w:val="nil"/>
              <w:right w:val="single" w:sz="4" w:space="0" w:color="auto"/>
            </w:tcBorders>
            <w:shd w:val="clear" w:color="auto" w:fill="auto"/>
            <w:noWrap/>
            <w:vAlign w:val="bottom"/>
            <w:hideMark/>
          </w:tcPr>
          <w:p w:rsidR="00265C00" w:rsidRPr="00096041" w:rsidRDefault="00265C00" w:rsidP="00096041">
            <w:pPr>
              <w:spacing w:after="0" w:line="240" w:lineRule="auto"/>
              <w:ind w:firstLineChars="300" w:firstLine="720"/>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Accept</w:t>
            </w:r>
          </w:p>
        </w:tc>
        <w:tc>
          <w:tcPr>
            <w:tcW w:w="440"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0</w:t>
            </w:r>
          </w:p>
        </w:tc>
        <w:tc>
          <w:tcPr>
            <w:tcW w:w="581"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3</w:t>
            </w:r>
          </w:p>
        </w:tc>
        <w:tc>
          <w:tcPr>
            <w:tcW w:w="704"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17</w:t>
            </w:r>
          </w:p>
        </w:tc>
        <w:tc>
          <w:tcPr>
            <w:tcW w:w="607"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9</w:t>
            </w:r>
          </w:p>
        </w:tc>
        <w:tc>
          <w:tcPr>
            <w:tcW w:w="581"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5</w:t>
            </w:r>
          </w:p>
        </w:tc>
        <w:tc>
          <w:tcPr>
            <w:tcW w:w="581"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4</w:t>
            </w:r>
          </w:p>
        </w:tc>
        <w:tc>
          <w:tcPr>
            <w:tcW w:w="735"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6</w:t>
            </w:r>
          </w:p>
        </w:tc>
        <w:tc>
          <w:tcPr>
            <w:tcW w:w="1299" w:type="dxa"/>
            <w:tcBorders>
              <w:top w:val="nil"/>
              <w:left w:val="nil"/>
              <w:bottom w:val="nil"/>
              <w:right w:val="single" w:sz="4" w:space="0" w:color="auto"/>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44</w:t>
            </w:r>
          </w:p>
        </w:tc>
      </w:tr>
      <w:tr w:rsidR="00265C00" w:rsidRPr="00096041" w:rsidTr="00B71F1C">
        <w:trPr>
          <w:trHeight w:val="300"/>
        </w:trPr>
        <w:tc>
          <w:tcPr>
            <w:tcW w:w="1701" w:type="dxa"/>
            <w:tcBorders>
              <w:top w:val="nil"/>
              <w:left w:val="single" w:sz="4" w:space="0" w:color="auto"/>
              <w:bottom w:val="nil"/>
              <w:right w:val="single" w:sz="4" w:space="0" w:color="auto"/>
            </w:tcBorders>
            <w:shd w:val="clear" w:color="auto" w:fill="auto"/>
            <w:noWrap/>
            <w:vAlign w:val="bottom"/>
            <w:hideMark/>
          </w:tcPr>
          <w:p w:rsidR="00265C00" w:rsidRPr="00096041" w:rsidRDefault="00265C00" w:rsidP="00096041">
            <w:pPr>
              <w:spacing w:after="0" w:line="240" w:lineRule="auto"/>
              <w:ind w:firstLineChars="300" w:firstLine="720"/>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Reject</w:t>
            </w:r>
          </w:p>
        </w:tc>
        <w:tc>
          <w:tcPr>
            <w:tcW w:w="440"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3</w:t>
            </w:r>
          </w:p>
        </w:tc>
        <w:tc>
          <w:tcPr>
            <w:tcW w:w="581"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16</w:t>
            </w:r>
          </w:p>
        </w:tc>
        <w:tc>
          <w:tcPr>
            <w:tcW w:w="704"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30</w:t>
            </w:r>
          </w:p>
        </w:tc>
        <w:tc>
          <w:tcPr>
            <w:tcW w:w="607"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30</w:t>
            </w:r>
          </w:p>
        </w:tc>
        <w:tc>
          <w:tcPr>
            <w:tcW w:w="581"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39</w:t>
            </w:r>
          </w:p>
        </w:tc>
        <w:tc>
          <w:tcPr>
            <w:tcW w:w="581"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14</w:t>
            </w:r>
          </w:p>
        </w:tc>
        <w:tc>
          <w:tcPr>
            <w:tcW w:w="735" w:type="dxa"/>
            <w:tcBorders>
              <w:top w:val="nil"/>
              <w:left w:val="nil"/>
              <w:bottom w:val="nil"/>
              <w:right w:val="nil"/>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7</w:t>
            </w:r>
          </w:p>
        </w:tc>
        <w:tc>
          <w:tcPr>
            <w:tcW w:w="1299" w:type="dxa"/>
            <w:tcBorders>
              <w:top w:val="nil"/>
              <w:left w:val="nil"/>
              <w:bottom w:val="nil"/>
              <w:right w:val="single" w:sz="4" w:space="0" w:color="auto"/>
            </w:tcBorders>
            <w:shd w:val="clear" w:color="auto" w:fill="auto"/>
            <w:noWrap/>
            <w:vAlign w:val="bottom"/>
            <w:hideMark/>
          </w:tcPr>
          <w:p w:rsidR="00265C00" w:rsidRPr="00096041" w:rsidRDefault="007E4271" w:rsidP="00B20620">
            <w:pPr>
              <w:spacing w:after="0" w:line="240" w:lineRule="auto"/>
              <w:jc w:val="center"/>
              <w:rPr>
                <w:rFonts w:ascii="Calibri" w:eastAsia="Times New Roman" w:hAnsi="Calibri" w:cs="Times New Roman"/>
                <w:color w:val="000000"/>
                <w:sz w:val="24"/>
                <w:szCs w:val="24"/>
                <w:lang w:eastAsia="en-GB"/>
              </w:rPr>
            </w:pPr>
            <w:r w:rsidRPr="00096041">
              <w:rPr>
                <w:rFonts w:ascii="Calibri" w:eastAsia="Times New Roman" w:hAnsi="Calibri" w:cs="Times New Roman"/>
                <w:color w:val="000000"/>
                <w:sz w:val="24"/>
                <w:szCs w:val="24"/>
                <w:lang w:eastAsia="en-GB"/>
              </w:rPr>
              <w:t>139</w:t>
            </w:r>
          </w:p>
        </w:tc>
      </w:tr>
      <w:tr w:rsidR="00265C00" w:rsidRPr="00096041" w:rsidTr="00B71F1C">
        <w:trPr>
          <w:trHeight w:val="300"/>
        </w:trPr>
        <w:tc>
          <w:tcPr>
            <w:tcW w:w="1701" w:type="dxa"/>
            <w:tcBorders>
              <w:top w:val="nil"/>
              <w:left w:val="single" w:sz="4" w:space="0" w:color="auto"/>
              <w:bottom w:val="single" w:sz="4" w:space="0" w:color="auto"/>
              <w:right w:val="single" w:sz="4" w:space="0" w:color="auto"/>
            </w:tcBorders>
            <w:shd w:val="clear" w:color="000000" w:fill="C5D9F1"/>
            <w:noWrap/>
            <w:vAlign w:val="bottom"/>
            <w:hideMark/>
          </w:tcPr>
          <w:p w:rsidR="00265C00" w:rsidRPr="00096041" w:rsidRDefault="00265C00" w:rsidP="00265C00">
            <w:pPr>
              <w:spacing w:after="0" w:line="240" w:lineRule="auto"/>
              <w:rPr>
                <w:rFonts w:ascii="Calibri" w:eastAsia="Times New Roman" w:hAnsi="Calibri" w:cs="Times New Roman"/>
                <w:b/>
                <w:color w:val="000000"/>
                <w:sz w:val="24"/>
                <w:szCs w:val="24"/>
                <w:lang w:eastAsia="en-GB"/>
              </w:rPr>
            </w:pPr>
            <w:r w:rsidRPr="00096041">
              <w:rPr>
                <w:rFonts w:ascii="Calibri" w:eastAsia="Times New Roman" w:hAnsi="Calibri" w:cs="Times New Roman"/>
                <w:b/>
                <w:color w:val="000000"/>
                <w:sz w:val="24"/>
                <w:szCs w:val="24"/>
                <w:lang w:eastAsia="en-GB"/>
              </w:rPr>
              <w:t>Total</w:t>
            </w:r>
          </w:p>
        </w:tc>
        <w:tc>
          <w:tcPr>
            <w:tcW w:w="440" w:type="dxa"/>
            <w:tcBorders>
              <w:top w:val="nil"/>
              <w:left w:val="nil"/>
              <w:bottom w:val="single" w:sz="4" w:space="0" w:color="auto"/>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b/>
                <w:color w:val="000000"/>
                <w:sz w:val="24"/>
                <w:szCs w:val="24"/>
                <w:lang w:eastAsia="en-GB"/>
              </w:rPr>
            </w:pPr>
            <w:r w:rsidRPr="00096041">
              <w:rPr>
                <w:rFonts w:ascii="Calibri" w:eastAsia="Times New Roman" w:hAnsi="Calibri" w:cs="Times New Roman"/>
                <w:b/>
                <w:color w:val="000000"/>
                <w:sz w:val="24"/>
                <w:szCs w:val="24"/>
                <w:lang w:eastAsia="en-GB"/>
              </w:rPr>
              <w:t>185</w:t>
            </w:r>
          </w:p>
        </w:tc>
        <w:tc>
          <w:tcPr>
            <w:tcW w:w="581" w:type="dxa"/>
            <w:tcBorders>
              <w:top w:val="nil"/>
              <w:left w:val="nil"/>
              <w:bottom w:val="single" w:sz="4" w:space="0" w:color="auto"/>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b/>
                <w:color w:val="000000"/>
                <w:sz w:val="24"/>
                <w:szCs w:val="24"/>
                <w:lang w:eastAsia="en-GB"/>
              </w:rPr>
            </w:pPr>
            <w:r w:rsidRPr="00096041">
              <w:rPr>
                <w:rFonts w:ascii="Calibri" w:eastAsia="Times New Roman" w:hAnsi="Calibri" w:cs="Times New Roman"/>
                <w:b/>
                <w:color w:val="000000"/>
                <w:sz w:val="24"/>
                <w:szCs w:val="24"/>
                <w:lang w:eastAsia="en-GB"/>
              </w:rPr>
              <w:t>245</w:t>
            </w:r>
          </w:p>
        </w:tc>
        <w:tc>
          <w:tcPr>
            <w:tcW w:w="704" w:type="dxa"/>
            <w:tcBorders>
              <w:top w:val="nil"/>
              <w:left w:val="nil"/>
              <w:bottom w:val="single" w:sz="4" w:space="0" w:color="auto"/>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b/>
                <w:color w:val="000000"/>
                <w:sz w:val="24"/>
                <w:szCs w:val="24"/>
                <w:lang w:eastAsia="en-GB"/>
              </w:rPr>
            </w:pPr>
            <w:r w:rsidRPr="00096041">
              <w:rPr>
                <w:rFonts w:ascii="Calibri" w:eastAsia="Times New Roman" w:hAnsi="Calibri" w:cs="Times New Roman"/>
                <w:b/>
                <w:color w:val="000000"/>
                <w:sz w:val="24"/>
                <w:szCs w:val="24"/>
                <w:lang w:eastAsia="en-GB"/>
              </w:rPr>
              <w:t>225</w:t>
            </w:r>
          </w:p>
        </w:tc>
        <w:tc>
          <w:tcPr>
            <w:tcW w:w="607" w:type="dxa"/>
            <w:tcBorders>
              <w:top w:val="nil"/>
              <w:left w:val="nil"/>
              <w:bottom w:val="single" w:sz="4" w:space="0" w:color="auto"/>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b/>
                <w:color w:val="000000"/>
                <w:sz w:val="24"/>
                <w:szCs w:val="24"/>
                <w:lang w:eastAsia="en-GB"/>
              </w:rPr>
            </w:pPr>
            <w:r w:rsidRPr="00096041">
              <w:rPr>
                <w:rFonts w:ascii="Calibri" w:eastAsia="Times New Roman" w:hAnsi="Calibri" w:cs="Times New Roman"/>
                <w:b/>
                <w:color w:val="000000"/>
                <w:sz w:val="24"/>
                <w:szCs w:val="24"/>
                <w:lang w:eastAsia="en-GB"/>
              </w:rPr>
              <w:t>370</w:t>
            </w:r>
          </w:p>
        </w:tc>
        <w:tc>
          <w:tcPr>
            <w:tcW w:w="581" w:type="dxa"/>
            <w:tcBorders>
              <w:top w:val="nil"/>
              <w:left w:val="nil"/>
              <w:bottom w:val="single" w:sz="4" w:space="0" w:color="auto"/>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b/>
                <w:color w:val="000000"/>
                <w:sz w:val="24"/>
                <w:szCs w:val="24"/>
                <w:lang w:eastAsia="en-GB"/>
              </w:rPr>
            </w:pPr>
            <w:r w:rsidRPr="00096041">
              <w:rPr>
                <w:rFonts w:ascii="Calibri" w:eastAsia="Times New Roman" w:hAnsi="Calibri" w:cs="Times New Roman"/>
                <w:b/>
                <w:color w:val="000000"/>
                <w:sz w:val="24"/>
                <w:szCs w:val="24"/>
                <w:lang w:eastAsia="en-GB"/>
              </w:rPr>
              <w:t>366</w:t>
            </w:r>
          </w:p>
        </w:tc>
        <w:tc>
          <w:tcPr>
            <w:tcW w:w="581" w:type="dxa"/>
            <w:tcBorders>
              <w:top w:val="nil"/>
              <w:left w:val="nil"/>
              <w:bottom w:val="single" w:sz="4" w:space="0" w:color="auto"/>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b/>
                <w:color w:val="000000"/>
                <w:sz w:val="24"/>
                <w:szCs w:val="24"/>
                <w:lang w:eastAsia="en-GB"/>
              </w:rPr>
            </w:pPr>
            <w:r w:rsidRPr="00096041">
              <w:rPr>
                <w:rFonts w:ascii="Calibri" w:eastAsia="Times New Roman" w:hAnsi="Calibri" w:cs="Times New Roman"/>
                <w:b/>
                <w:color w:val="000000"/>
                <w:sz w:val="24"/>
                <w:szCs w:val="24"/>
                <w:lang w:eastAsia="en-GB"/>
              </w:rPr>
              <w:t>253</w:t>
            </w:r>
          </w:p>
        </w:tc>
        <w:tc>
          <w:tcPr>
            <w:tcW w:w="735" w:type="dxa"/>
            <w:tcBorders>
              <w:top w:val="nil"/>
              <w:left w:val="nil"/>
              <w:bottom w:val="single" w:sz="4" w:space="0" w:color="auto"/>
              <w:right w:val="nil"/>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b/>
                <w:color w:val="000000"/>
                <w:sz w:val="24"/>
                <w:szCs w:val="24"/>
                <w:lang w:eastAsia="en-GB"/>
              </w:rPr>
            </w:pPr>
            <w:r w:rsidRPr="00096041">
              <w:rPr>
                <w:rFonts w:ascii="Calibri" w:eastAsia="Times New Roman" w:hAnsi="Calibri" w:cs="Times New Roman"/>
                <w:b/>
                <w:color w:val="000000"/>
                <w:sz w:val="24"/>
                <w:szCs w:val="24"/>
                <w:lang w:eastAsia="en-GB"/>
              </w:rPr>
              <w:t>203</w:t>
            </w:r>
          </w:p>
        </w:tc>
        <w:tc>
          <w:tcPr>
            <w:tcW w:w="1299" w:type="dxa"/>
            <w:tcBorders>
              <w:top w:val="nil"/>
              <w:left w:val="nil"/>
              <w:bottom w:val="single" w:sz="4" w:space="0" w:color="auto"/>
              <w:right w:val="single" w:sz="4" w:space="0" w:color="auto"/>
            </w:tcBorders>
            <w:shd w:val="clear" w:color="000000" w:fill="C5D9F1"/>
            <w:noWrap/>
            <w:vAlign w:val="bottom"/>
            <w:hideMark/>
          </w:tcPr>
          <w:p w:rsidR="00265C00" w:rsidRPr="00096041" w:rsidRDefault="007E4271" w:rsidP="00B20620">
            <w:pPr>
              <w:spacing w:after="0" w:line="240" w:lineRule="auto"/>
              <w:jc w:val="center"/>
              <w:rPr>
                <w:rFonts w:ascii="Calibri" w:eastAsia="Times New Roman" w:hAnsi="Calibri" w:cs="Times New Roman"/>
                <w:b/>
                <w:color w:val="000000"/>
                <w:sz w:val="24"/>
                <w:szCs w:val="24"/>
                <w:lang w:eastAsia="en-GB"/>
              </w:rPr>
            </w:pPr>
            <w:r w:rsidRPr="00096041">
              <w:rPr>
                <w:rFonts w:ascii="Calibri" w:eastAsia="Times New Roman" w:hAnsi="Calibri" w:cs="Times New Roman"/>
                <w:b/>
                <w:color w:val="000000"/>
                <w:sz w:val="24"/>
                <w:szCs w:val="24"/>
                <w:lang w:eastAsia="en-GB"/>
              </w:rPr>
              <w:t>1847</w:t>
            </w:r>
          </w:p>
        </w:tc>
      </w:tr>
    </w:tbl>
    <w:p w:rsidR="007C26BD" w:rsidRPr="00096041" w:rsidRDefault="007C26BD" w:rsidP="007C26BD">
      <w:pPr>
        <w:pStyle w:val="ListParagraph"/>
        <w:ind w:left="709"/>
        <w:rPr>
          <w:sz w:val="24"/>
          <w:szCs w:val="24"/>
        </w:rPr>
      </w:pPr>
    </w:p>
    <w:p w:rsidR="007C26BD" w:rsidRPr="00096041" w:rsidRDefault="007C26BD" w:rsidP="007C26BD">
      <w:pPr>
        <w:pStyle w:val="ListParagraph"/>
        <w:ind w:left="709" w:hanging="709"/>
        <w:rPr>
          <w:sz w:val="24"/>
          <w:szCs w:val="24"/>
        </w:rPr>
      </w:pPr>
    </w:p>
    <w:p w:rsidR="007C26BD" w:rsidRPr="00096041" w:rsidRDefault="00954C04" w:rsidP="008D4EA1">
      <w:pPr>
        <w:pStyle w:val="ListParagraph"/>
        <w:ind w:left="709"/>
        <w:jc w:val="both"/>
        <w:rPr>
          <w:sz w:val="24"/>
          <w:szCs w:val="24"/>
        </w:rPr>
      </w:pPr>
      <w:r>
        <w:rPr>
          <w:sz w:val="24"/>
          <w:szCs w:val="24"/>
        </w:rPr>
        <w:t>The number of claims rose sharply in 2009/10 but ha</w:t>
      </w:r>
      <w:r w:rsidR="00747A06">
        <w:rPr>
          <w:sz w:val="24"/>
          <w:szCs w:val="24"/>
        </w:rPr>
        <w:t>s</w:t>
      </w:r>
      <w:r>
        <w:rPr>
          <w:sz w:val="24"/>
          <w:szCs w:val="24"/>
        </w:rPr>
        <w:t xml:space="preserve"> </w:t>
      </w:r>
      <w:r w:rsidR="00E23825">
        <w:rPr>
          <w:sz w:val="24"/>
          <w:szCs w:val="24"/>
        </w:rPr>
        <w:t>since</w:t>
      </w:r>
      <w:r>
        <w:rPr>
          <w:sz w:val="24"/>
          <w:szCs w:val="24"/>
        </w:rPr>
        <w:t xml:space="preserve"> reduced steadily. The number of claims in 2012/13 was similar to that of the preceding year (chart 1a).  </w:t>
      </w:r>
    </w:p>
    <w:p w:rsidR="005112D6" w:rsidRPr="00096041" w:rsidRDefault="00585E88" w:rsidP="005112D6">
      <w:pPr>
        <w:pStyle w:val="ListParagraph"/>
        <w:ind w:left="709"/>
        <w:rPr>
          <w:sz w:val="24"/>
          <w:szCs w:val="24"/>
        </w:rPr>
      </w:pPr>
      <w:r w:rsidRPr="00585E88">
        <w:rPr>
          <w:noProof/>
          <w:szCs w:val="24"/>
          <w:lang w:eastAsia="en-GB"/>
        </w:rPr>
        <w:drawing>
          <wp:inline distT="0" distB="0" distL="0" distR="0">
            <wp:extent cx="4381500" cy="2804795"/>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4381500" cy="2804795"/>
                    </a:xfrm>
                    <a:prstGeom prst="rect">
                      <a:avLst/>
                    </a:prstGeom>
                    <a:noFill/>
                    <a:ln w="9525">
                      <a:noFill/>
                      <a:miter lim="800000"/>
                      <a:headEnd/>
                      <a:tailEnd/>
                    </a:ln>
                  </pic:spPr>
                </pic:pic>
              </a:graphicData>
            </a:graphic>
          </wp:inline>
        </w:drawing>
      </w:r>
    </w:p>
    <w:p w:rsidR="001F695E" w:rsidRPr="00096041" w:rsidRDefault="001F695E" w:rsidP="001F695E">
      <w:pPr>
        <w:pStyle w:val="ListParagraph"/>
        <w:spacing w:after="0"/>
        <w:ind w:left="709"/>
        <w:rPr>
          <w:b/>
          <w:sz w:val="24"/>
          <w:szCs w:val="24"/>
        </w:rPr>
      </w:pPr>
      <w:r w:rsidRPr="00096041">
        <w:rPr>
          <w:b/>
          <w:sz w:val="24"/>
          <w:szCs w:val="24"/>
        </w:rPr>
        <w:t>Chart 1a: total number of extenuation claims since 2005</w:t>
      </w:r>
    </w:p>
    <w:p w:rsidR="00BE2961" w:rsidRPr="00096041" w:rsidRDefault="00BE2961" w:rsidP="005112D6">
      <w:pPr>
        <w:pStyle w:val="ListParagraph"/>
        <w:ind w:left="709"/>
        <w:rPr>
          <w:sz w:val="24"/>
          <w:szCs w:val="24"/>
        </w:rPr>
      </w:pPr>
    </w:p>
    <w:p w:rsidR="00211D1B" w:rsidRPr="00096041" w:rsidRDefault="00211D1B" w:rsidP="00223304">
      <w:pPr>
        <w:pStyle w:val="ListParagraph"/>
        <w:ind w:left="709"/>
        <w:rPr>
          <w:color w:val="FF0000"/>
          <w:sz w:val="24"/>
          <w:szCs w:val="24"/>
        </w:rPr>
      </w:pPr>
    </w:p>
    <w:p w:rsidR="00B3238B" w:rsidRPr="00096041" w:rsidRDefault="00B3238B" w:rsidP="00223304">
      <w:pPr>
        <w:pStyle w:val="ListParagraph"/>
        <w:ind w:left="709"/>
        <w:rPr>
          <w:color w:val="FF0000"/>
          <w:sz w:val="24"/>
          <w:szCs w:val="24"/>
        </w:rPr>
      </w:pPr>
    </w:p>
    <w:p w:rsidR="00B3238B" w:rsidRPr="00096041" w:rsidRDefault="00B3238B" w:rsidP="00B3238B">
      <w:pPr>
        <w:pStyle w:val="ListParagraph"/>
        <w:ind w:left="709" w:hanging="709"/>
        <w:rPr>
          <w:sz w:val="24"/>
          <w:szCs w:val="24"/>
        </w:rPr>
      </w:pPr>
      <w:r w:rsidRPr="00096041">
        <w:rPr>
          <w:sz w:val="24"/>
          <w:szCs w:val="24"/>
        </w:rPr>
        <w:t>2.2</w:t>
      </w:r>
      <w:r w:rsidRPr="00096041">
        <w:rPr>
          <w:sz w:val="24"/>
          <w:szCs w:val="24"/>
        </w:rPr>
        <w:tab/>
        <w:t xml:space="preserve">Academic schools typically show distinctive patterns of extenuation activity.  Table 2a </w:t>
      </w:r>
      <w:r w:rsidR="00743F18" w:rsidRPr="00096041">
        <w:rPr>
          <w:sz w:val="24"/>
          <w:szCs w:val="24"/>
        </w:rPr>
        <w:t>illustrates</w:t>
      </w:r>
      <w:r w:rsidRPr="00096041">
        <w:rPr>
          <w:sz w:val="24"/>
          <w:szCs w:val="24"/>
        </w:rPr>
        <w:t xml:space="preserve"> the </w:t>
      </w:r>
      <w:r w:rsidR="00954C04">
        <w:rPr>
          <w:sz w:val="24"/>
          <w:szCs w:val="24"/>
        </w:rPr>
        <w:t>proportion</w:t>
      </w:r>
      <w:r w:rsidR="00954C04" w:rsidRPr="00096041">
        <w:rPr>
          <w:sz w:val="24"/>
          <w:szCs w:val="24"/>
        </w:rPr>
        <w:t xml:space="preserve"> </w:t>
      </w:r>
      <w:r w:rsidRPr="00096041">
        <w:rPr>
          <w:sz w:val="24"/>
          <w:szCs w:val="24"/>
        </w:rPr>
        <w:t>of students</w:t>
      </w:r>
      <w:r w:rsidR="00954C04">
        <w:rPr>
          <w:sz w:val="24"/>
          <w:szCs w:val="24"/>
        </w:rPr>
        <w:t xml:space="preserve"> that made one or more extenuation claims in 2012/13</w:t>
      </w:r>
      <w:r w:rsidR="00024A7F">
        <w:rPr>
          <w:sz w:val="24"/>
          <w:szCs w:val="24"/>
        </w:rPr>
        <w:t>. Although the number of claims for</w:t>
      </w:r>
      <w:r w:rsidR="001F695E">
        <w:rPr>
          <w:sz w:val="24"/>
          <w:szCs w:val="24"/>
        </w:rPr>
        <w:t xml:space="preserve"> the</w:t>
      </w:r>
      <w:r w:rsidR="00024A7F">
        <w:rPr>
          <w:sz w:val="24"/>
          <w:szCs w:val="24"/>
        </w:rPr>
        <w:t xml:space="preserve"> School of Law and Social Sciences </w:t>
      </w:r>
      <w:r w:rsidR="00024A7F">
        <w:rPr>
          <w:sz w:val="24"/>
          <w:szCs w:val="24"/>
        </w:rPr>
        <w:lastRenderedPageBreak/>
        <w:t>students was</w:t>
      </w:r>
      <w:r w:rsidR="001F695E">
        <w:rPr>
          <w:sz w:val="24"/>
          <w:szCs w:val="24"/>
        </w:rPr>
        <w:t xml:space="preserve"> </w:t>
      </w:r>
      <w:r w:rsidR="00024A7F">
        <w:rPr>
          <w:sz w:val="24"/>
          <w:szCs w:val="24"/>
        </w:rPr>
        <w:t>n</w:t>
      </w:r>
      <w:r w:rsidR="001F695E">
        <w:rPr>
          <w:sz w:val="24"/>
          <w:szCs w:val="24"/>
        </w:rPr>
        <w:t>o</w:t>
      </w:r>
      <w:r w:rsidR="00024A7F">
        <w:rPr>
          <w:sz w:val="24"/>
          <w:szCs w:val="24"/>
        </w:rPr>
        <w:t>t the highest, it represented the largest proportion of students from a particular school.</w:t>
      </w:r>
    </w:p>
    <w:p w:rsidR="00714EC0" w:rsidRPr="00096041" w:rsidRDefault="00714EC0" w:rsidP="00B3238B">
      <w:pPr>
        <w:pStyle w:val="ListParagraph"/>
        <w:spacing w:after="0"/>
        <w:ind w:left="709"/>
        <w:rPr>
          <w:b/>
          <w:color w:val="FF0000"/>
          <w:sz w:val="24"/>
          <w:szCs w:val="24"/>
        </w:rPr>
      </w:pPr>
    </w:p>
    <w:p w:rsidR="00B3238B" w:rsidRPr="00096041" w:rsidRDefault="00B3238B" w:rsidP="00096041">
      <w:pPr>
        <w:pStyle w:val="ListParagraph"/>
        <w:spacing w:after="0"/>
        <w:ind w:left="709"/>
        <w:rPr>
          <w:b/>
          <w:sz w:val="24"/>
          <w:szCs w:val="24"/>
        </w:rPr>
      </w:pPr>
      <w:r w:rsidRPr="00096041">
        <w:rPr>
          <w:b/>
          <w:sz w:val="24"/>
          <w:szCs w:val="24"/>
        </w:rPr>
        <w:t xml:space="preserve">Table 2a: extenuation activity by </w:t>
      </w:r>
      <w:r w:rsidR="0068427C" w:rsidRPr="00096041">
        <w:rPr>
          <w:b/>
          <w:sz w:val="24"/>
          <w:szCs w:val="24"/>
        </w:rPr>
        <w:t xml:space="preserve">academic </w:t>
      </w:r>
      <w:r w:rsidRPr="00096041">
        <w:rPr>
          <w:b/>
          <w:sz w:val="24"/>
          <w:szCs w:val="24"/>
        </w:rPr>
        <w:t>school</w:t>
      </w:r>
    </w:p>
    <w:tbl>
      <w:tblPr>
        <w:tblW w:w="4130" w:type="dxa"/>
        <w:tblInd w:w="855" w:type="dxa"/>
        <w:tblLook w:val="04A0"/>
      </w:tblPr>
      <w:tblGrid>
        <w:gridCol w:w="735"/>
        <w:gridCol w:w="1063"/>
        <w:gridCol w:w="1339"/>
        <w:gridCol w:w="1275"/>
      </w:tblGrid>
      <w:tr w:rsidR="00B3238B" w:rsidRPr="00096041" w:rsidTr="00C96C30">
        <w:trPr>
          <w:trHeight w:val="300"/>
        </w:trPr>
        <w:tc>
          <w:tcPr>
            <w:tcW w:w="692" w:type="dxa"/>
            <w:tcBorders>
              <w:top w:val="single" w:sz="4" w:space="0" w:color="auto"/>
              <w:left w:val="single" w:sz="4" w:space="0" w:color="auto"/>
              <w:bottom w:val="nil"/>
              <w:right w:val="single" w:sz="4" w:space="0" w:color="auto"/>
            </w:tcBorders>
            <w:shd w:val="clear" w:color="auto" w:fill="B8CCE4" w:themeFill="accent1" w:themeFillTint="66"/>
            <w:noWrap/>
            <w:vAlign w:val="bottom"/>
            <w:hideMark/>
          </w:tcPr>
          <w:p w:rsidR="00B3238B" w:rsidRPr="00096041" w:rsidRDefault="00B3238B" w:rsidP="00096041">
            <w:pPr>
              <w:spacing w:after="0" w:line="240" w:lineRule="auto"/>
              <w:jc w:val="center"/>
              <w:rPr>
                <w:rFonts w:ascii="Calibri" w:eastAsia="Times New Roman" w:hAnsi="Calibri" w:cs="Times New Roman"/>
                <w:sz w:val="24"/>
                <w:szCs w:val="24"/>
                <w:lang w:eastAsia="en-GB"/>
              </w:rPr>
            </w:pPr>
          </w:p>
        </w:tc>
        <w:tc>
          <w:tcPr>
            <w:tcW w:w="1007" w:type="dxa"/>
            <w:tcBorders>
              <w:top w:val="single" w:sz="4" w:space="0" w:color="auto"/>
              <w:left w:val="single" w:sz="4" w:space="0" w:color="auto"/>
              <w:bottom w:val="nil"/>
              <w:right w:val="nil"/>
            </w:tcBorders>
            <w:shd w:val="clear" w:color="auto" w:fill="B8CCE4" w:themeFill="accent1" w:themeFillTint="66"/>
            <w:noWrap/>
            <w:vAlign w:val="bottom"/>
            <w:hideMark/>
          </w:tcPr>
          <w:p w:rsidR="00B3238B" w:rsidRPr="00096041" w:rsidRDefault="00954C04" w:rsidP="00096041">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Number of students who applied</w:t>
            </w:r>
          </w:p>
        </w:tc>
        <w:tc>
          <w:tcPr>
            <w:tcW w:w="1243" w:type="dxa"/>
            <w:tcBorders>
              <w:top w:val="single" w:sz="4" w:space="0" w:color="auto"/>
              <w:left w:val="nil"/>
              <w:bottom w:val="nil"/>
              <w:right w:val="nil"/>
            </w:tcBorders>
            <w:shd w:val="clear" w:color="auto" w:fill="B8CCE4" w:themeFill="accent1" w:themeFillTint="66"/>
            <w:noWrap/>
            <w:vAlign w:val="bottom"/>
            <w:hideMark/>
          </w:tcPr>
          <w:p w:rsidR="00B3238B" w:rsidRPr="00096041" w:rsidRDefault="00954C04" w:rsidP="001F695E">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Number of enrolments</w:t>
            </w:r>
          </w:p>
        </w:tc>
        <w:tc>
          <w:tcPr>
            <w:tcW w:w="1188" w:type="dxa"/>
            <w:tcBorders>
              <w:top w:val="single" w:sz="4" w:space="0" w:color="auto"/>
              <w:left w:val="nil"/>
              <w:bottom w:val="nil"/>
              <w:right w:val="single" w:sz="4" w:space="0" w:color="auto"/>
            </w:tcBorders>
            <w:shd w:val="clear" w:color="auto" w:fill="B8CCE4" w:themeFill="accent1" w:themeFillTint="66"/>
            <w:noWrap/>
            <w:vAlign w:val="bottom"/>
            <w:hideMark/>
          </w:tcPr>
          <w:p w:rsidR="00B3238B" w:rsidRPr="00096041" w:rsidRDefault="00954C04" w:rsidP="00954C04">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Proportion of students (%)</w:t>
            </w:r>
          </w:p>
        </w:tc>
      </w:tr>
      <w:tr w:rsidR="00B3238B" w:rsidRPr="00096041" w:rsidTr="00C96C30">
        <w:trPr>
          <w:trHeight w:val="300"/>
        </w:trPr>
        <w:tc>
          <w:tcPr>
            <w:tcW w:w="692" w:type="dxa"/>
            <w:tcBorders>
              <w:top w:val="nil"/>
              <w:left w:val="single" w:sz="4" w:space="0" w:color="auto"/>
              <w:bottom w:val="nil"/>
              <w:right w:val="single" w:sz="4" w:space="0" w:color="auto"/>
            </w:tcBorders>
            <w:shd w:val="clear" w:color="auto" w:fill="auto"/>
            <w:noWrap/>
            <w:vAlign w:val="bottom"/>
            <w:hideMark/>
          </w:tcPr>
          <w:p w:rsidR="00B3238B" w:rsidRPr="00096041" w:rsidRDefault="00B3238B"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ACE</w:t>
            </w:r>
          </w:p>
        </w:tc>
        <w:tc>
          <w:tcPr>
            <w:tcW w:w="1007" w:type="dxa"/>
            <w:tcBorders>
              <w:top w:val="nil"/>
              <w:left w:val="single" w:sz="4" w:space="0" w:color="auto"/>
              <w:bottom w:val="nil"/>
              <w:right w:val="nil"/>
            </w:tcBorders>
            <w:shd w:val="clear" w:color="auto" w:fill="auto"/>
            <w:noWrap/>
            <w:vAlign w:val="bottom"/>
            <w:hideMark/>
          </w:tcPr>
          <w:p w:rsidR="00B3238B" w:rsidRPr="00096041" w:rsidRDefault="00A24CE2"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13</w:t>
            </w:r>
            <w:r w:rsidR="00345AEC" w:rsidRPr="00096041">
              <w:rPr>
                <w:rFonts w:ascii="Calibri" w:eastAsia="Times New Roman" w:hAnsi="Calibri" w:cs="Times New Roman"/>
                <w:sz w:val="24"/>
                <w:szCs w:val="24"/>
                <w:lang w:eastAsia="en-GB"/>
              </w:rPr>
              <w:t>3</w:t>
            </w:r>
          </w:p>
        </w:tc>
        <w:tc>
          <w:tcPr>
            <w:tcW w:w="1243" w:type="dxa"/>
            <w:tcBorders>
              <w:top w:val="nil"/>
              <w:left w:val="nil"/>
              <w:bottom w:val="nil"/>
              <w:right w:val="nil"/>
            </w:tcBorders>
            <w:shd w:val="clear" w:color="auto" w:fill="auto"/>
            <w:noWrap/>
            <w:vAlign w:val="bottom"/>
            <w:hideMark/>
          </w:tcPr>
          <w:p w:rsidR="00B3238B" w:rsidRPr="00096041" w:rsidRDefault="00C96C30"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2477</w:t>
            </w:r>
          </w:p>
        </w:tc>
        <w:tc>
          <w:tcPr>
            <w:tcW w:w="1188" w:type="dxa"/>
            <w:tcBorders>
              <w:top w:val="nil"/>
              <w:left w:val="nil"/>
              <w:bottom w:val="nil"/>
              <w:right w:val="single" w:sz="4" w:space="0" w:color="auto"/>
            </w:tcBorders>
            <w:shd w:val="clear" w:color="auto" w:fill="auto"/>
            <w:noWrap/>
            <w:vAlign w:val="bottom"/>
            <w:hideMark/>
          </w:tcPr>
          <w:p w:rsidR="00B3238B" w:rsidRPr="00096041" w:rsidRDefault="00A24CE2"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5.</w:t>
            </w:r>
            <w:r w:rsidR="00345AEC" w:rsidRPr="00096041">
              <w:rPr>
                <w:rFonts w:ascii="Calibri" w:eastAsia="Times New Roman" w:hAnsi="Calibri" w:cs="Times New Roman"/>
                <w:sz w:val="24"/>
                <w:szCs w:val="24"/>
                <w:lang w:eastAsia="en-GB"/>
              </w:rPr>
              <w:t>36</w:t>
            </w:r>
            <w:r w:rsidRPr="00096041">
              <w:rPr>
                <w:rFonts w:ascii="Calibri" w:eastAsia="Times New Roman" w:hAnsi="Calibri" w:cs="Times New Roman"/>
                <w:sz w:val="24"/>
                <w:szCs w:val="24"/>
                <w:lang w:eastAsia="en-GB"/>
              </w:rPr>
              <w:t>%</w:t>
            </w:r>
          </w:p>
        </w:tc>
      </w:tr>
      <w:tr w:rsidR="00B3238B" w:rsidRPr="00096041" w:rsidTr="00C96C30">
        <w:trPr>
          <w:trHeight w:val="300"/>
        </w:trPr>
        <w:tc>
          <w:tcPr>
            <w:tcW w:w="692" w:type="dxa"/>
            <w:tcBorders>
              <w:top w:val="nil"/>
              <w:left w:val="single" w:sz="4" w:space="0" w:color="auto"/>
              <w:bottom w:val="nil"/>
              <w:right w:val="single" w:sz="4" w:space="0" w:color="auto"/>
            </w:tcBorders>
            <w:shd w:val="clear" w:color="auto" w:fill="auto"/>
            <w:noWrap/>
            <w:vAlign w:val="bottom"/>
            <w:hideMark/>
          </w:tcPr>
          <w:p w:rsidR="00B3238B" w:rsidRPr="00096041" w:rsidRDefault="00B3238B"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ADI</w:t>
            </w:r>
          </w:p>
        </w:tc>
        <w:tc>
          <w:tcPr>
            <w:tcW w:w="1007" w:type="dxa"/>
            <w:tcBorders>
              <w:top w:val="nil"/>
              <w:left w:val="single" w:sz="4" w:space="0" w:color="auto"/>
              <w:bottom w:val="nil"/>
              <w:right w:val="nil"/>
            </w:tcBorders>
            <w:shd w:val="clear" w:color="auto" w:fill="auto"/>
            <w:noWrap/>
            <w:vAlign w:val="bottom"/>
            <w:hideMark/>
          </w:tcPr>
          <w:p w:rsidR="00B3238B" w:rsidRPr="00096041" w:rsidRDefault="00A24CE2"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1</w:t>
            </w:r>
            <w:r w:rsidR="00573285" w:rsidRPr="00096041">
              <w:rPr>
                <w:rFonts w:ascii="Calibri" w:eastAsia="Times New Roman" w:hAnsi="Calibri" w:cs="Times New Roman"/>
                <w:sz w:val="24"/>
                <w:szCs w:val="24"/>
                <w:lang w:eastAsia="en-GB"/>
              </w:rPr>
              <w:t>77</w:t>
            </w:r>
          </w:p>
        </w:tc>
        <w:tc>
          <w:tcPr>
            <w:tcW w:w="1243" w:type="dxa"/>
            <w:tcBorders>
              <w:top w:val="nil"/>
              <w:left w:val="nil"/>
              <w:bottom w:val="nil"/>
              <w:right w:val="nil"/>
            </w:tcBorders>
            <w:shd w:val="clear" w:color="auto" w:fill="auto"/>
            <w:noWrap/>
            <w:vAlign w:val="bottom"/>
            <w:hideMark/>
          </w:tcPr>
          <w:p w:rsidR="00B3238B" w:rsidRPr="00096041" w:rsidRDefault="00C96C30"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2328</w:t>
            </w:r>
          </w:p>
        </w:tc>
        <w:tc>
          <w:tcPr>
            <w:tcW w:w="1188" w:type="dxa"/>
            <w:tcBorders>
              <w:top w:val="nil"/>
              <w:left w:val="nil"/>
              <w:bottom w:val="nil"/>
              <w:right w:val="single" w:sz="4" w:space="0" w:color="auto"/>
            </w:tcBorders>
            <w:shd w:val="clear" w:color="auto" w:fill="auto"/>
            <w:noWrap/>
            <w:vAlign w:val="bottom"/>
            <w:hideMark/>
          </w:tcPr>
          <w:p w:rsidR="00B3238B" w:rsidRPr="00096041" w:rsidRDefault="00A24CE2"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7.</w:t>
            </w:r>
            <w:r w:rsidR="00573285" w:rsidRPr="00096041">
              <w:rPr>
                <w:rFonts w:ascii="Calibri" w:eastAsia="Times New Roman" w:hAnsi="Calibri" w:cs="Times New Roman"/>
                <w:sz w:val="24"/>
                <w:szCs w:val="24"/>
                <w:lang w:eastAsia="en-GB"/>
              </w:rPr>
              <w:t>60</w:t>
            </w:r>
            <w:r w:rsidRPr="00096041">
              <w:rPr>
                <w:rFonts w:ascii="Calibri" w:eastAsia="Times New Roman" w:hAnsi="Calibri" w:cs="Times New Roman"/>
                <w:sz w:val="24"/>
                <w:szCs w:val="24"/>
                <w:lang w:eastAsia="en-GB"/>
              </w:rPr>
              <w:t>%</w:t>
            </w:r>
          </w:p>
        </w:tc>
      </w:tr>
      <w:tr w:rsidR="00B3238B" w:rsidRPr="00096041" w:rsidTr="00C96C30">
        <w:trPr>
          <w:trHeight w:val="300"/>
        </w:trPr>
        <w:tc>
          <w:tcPr>
            <w:tcW w:w="692" w:type="dxa"/>
            <w:tcBorders>
              <w:top w:val="nil"/>
              <w:left w:val="single" w:sz="4" w:space="0" w:color="auto"/>
              <w:bottom w:val="nil"/>
              <w:right w:val="single" w:sz="4" w:space="0" w:color="auto"/>
            </w:tcBorders>
            <w:shd w:val="clear" w:color="auto" w:fill="auto"/>
            <w:noWrap/>
            <w:vAlign w:val="bottom"/>
            <w:hideMark/>
          </w:tcPr>
          <w:p w:rsidR="00B3238B" w:rsidRPr="00096041" w:rsidRDefault="00B20620" w:rsidP="00096041">
            <w:pPr>
              <w:spacing w:after="0" w:line="240" w:lineRule="auto"/>
              <w:jc w:val="center"/>
              <w:rPr>
                <w:rFonts w:ascii="Calibri" w:eastAsia="Times New Roman" w:hAnsi="Calibri" w:cs="Times New Roman"/>
                <w:sz w:val="24"/>
                <w:szCs w:val="24"/>
                <w:lang w:eastAsia="en-GB"/>
              </w:rPr>
            </w:pPr>
            <w:r>
              <w:rPr>
                <w:rFonts w:ascii="Calibri" w:eastAsia="Times New Roman" w:hAnsi="Calibri" w:cs="Times New Roman"/>
                <w:sz w:val="24"/>
                <w:szCs w:val="24"/>
                <w:lang w:eastAsia="en-GB"/>
              </w:rPr>
              <w:t>Cass</w:t>
            </w:r>
          </w:p>
        </w:tc>
        <w:tc>
          <w:tcPr>
            <w:tcW w:w="1007" w:type="dxa"/>
            <w:tcBorders>
              <w:top w:val="nil"/>
              <w:left w:val="single" w:sz="4" w:space="0" w:color="auto"/>
              <w:bottom w:val="nil"/>
              <w:right w:val="nil"/>
            </w:tcBorders>
            <w:shd w:val="clear" w:color="auto" w:fill="auto"/>
            <w:noWrap/>
            <w:vAlign w:val="bottom"/>
            <w:hideMark/>
          </w:tcPr>
          <w:p w:rsidR="00B3238B" w:rsidRPr="00096041" w:rsidRDefault="00345AEC"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1</w:t>
            </w:r>
            <w:r w:rsidR="00573285" w:rsidRPr="00096041">
              <w:rPr>
                <w:rFonts w:ascii="Calibri" w:eastAsia="Times New Roman" w:hAnsi="Calibri" w:cs="Times New Roman"/>
                <w:sz w:val="24"/>
                <w:szCs w:val="24"/>
                <w:lang w:eastAsia="en-GB"/>
              </w:rPr>
              <w:t>48</w:t>
            </w:r>
          </w:p>
        </w:tc>
        <w:tc>
          <w:tcPr>
            <w:tcW w:w="1243" w:type="dxa"/>
            <w:tcBorders>
              <w:top w:val="nil"/>
              <w:left w:val="nil"/>
              <w:bottom w:val="nil"/>
              <w:right w:val="nil"/>
            </w:tcBorders>
            <w:shd w:val="clear" w:color="auto" w:fill="auto"/>
            <w:noWrap/>
            <w:vAlign w:val="bottom"/>
            <w:hideMark/>
          </w:tcPr>
          <w:p w:rsidR="00B3238B" w:rsidRPr="00096041" w:rsidRDefault="00C96C30"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2332</w:t>
            </w:r>
          </w:p>
        </w:tc>
        <w:tc>
          <w:tcPr>
            <w:tcW w:w="1188" w:type="dxa"/>
            <w:tcBorders>
              <w:top w:val="nil"/>
              <w:left w:val="nil"/>
              <w:bottom w:val="nil"/>
              <w:right w:val="single" w:sz="4" w:space="0" w:color="auto"/>
            </w:tcBorders>
            <w:shd w:val="clear" w:color="auto" w:fill="auto"/>
            <w:noWrap/>
            <w:vAlign w:val="bottom"/>
            <w:hideMark/>
          </w:tcPr>
          <w:p w:rsidR="00B3238B" w:rsidRPr="00096041" w:rsidRDefault="00573285"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6</w:t>
            </w:r>
            <w:r w:rsidR="00345AEC" w:rsidRPr="00096041">
              <w:rPr>
                <w:rFonts w:ascii="Calibri" w:eastAsia="Times New Roman" w:hAnsi="Calibri" w:cs="Times New Roman"/>
                <w:sz w:val="24"/>
                <w:szCs w:val="24"/>
                <w:lang w:eastAsia="en-GB"/>
              </w:rPr>
              <w:t>.</w:t>
            </w:r>
            <w:r w:rsidRPr="00096041">
              <w:rPr>
                <w:rFonts w:ascii="Calibri" w:eastAsia="Times New Roman" w:hAnsi="Calibri" w:cs="Times New Roman"/>
                <w:sz w:val="24"/>
                <w:szCs w:val="24"/>
                <w:lang w:eastAsia="en-GB"/>
              </w:rPr>
              <w:t>34</w:t>
            </w:r>
            <w:r w:rsidR="00F3289D" w:rsidRPr="00096041">
              <w:rPr>
                <w:rFonts w:ascii="Calibri" w:eastAsia="Times New Roman" w:hAnsi="Calibri" w:cs="Times New Roman"/>
                <w:sz w:val="24"/>
                <w:szCs w:val="24"/>
                <w:lang w:eastAsia="en-GB"/>
              </w:rPr>
              <w:t>%</w:t>
            </w:r>
          </w:p>
        </w:tc>
      </w:tr>
      <w:tr w:rsidR="00B3238B" w:rsidRPr="00096041" w:rsidTr="00C96C30">
        <w:trPr>
          <w:trHeight w:val="300"/>
        </w:trPr>
        <w:tc>
          <w:tcPr>
            <w:tcW w:w="692" w:type="dxa"/>
            <w:tcBorders>
              <w:top w:val="nil"/>
              <w:left w:val="single" w:sz="4" w:space="0" w:color="auto"/>
              <w:bottom w:val="nil"/>
              <w:right w:val="single" w:sz="4" w:space="0" w:color="auto"/>
            </w:tcBorders>
            <w:shd w:val="clear" w:color="auto" w:fill="auto"/>
            <w:noWrap/>
            <w:vAlign w:val="bottom"/>
            <w:hideMark/>
          </w:tcPr>
          <w:p w:rsidR="00B3238B" w:rsidRPr="00096041" w:rsidRDefault="00B3238B"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HSB</w:t>
            </w:r>
          </w:p>
        </w:tc>
        <w:tc>
          <w:tcPr>
            <w:tcW w:w="1007" w:type="dxa"/>
            <w:tcBorders>
              <w:top w:val="nil"/>
              <w:left w:val="single" w:sz="4" w:space="0" w:color="auto"/>
              <w:bottom w:val="nil"/>
              <w:right w:val="nil"/>
            </w:tcBorders>
            <w:shd w:val="clear" w:color="auto" w:fill="auto"/>
            <w:noWrap/>
            <w:vAlign w:val="bottom"/>
            <w:hideMark/>
          </w:tcPr>
          <w:p w:rsidR="00B3238B" w:rsidRPr="00096041" w:rsidRDefault="00345AEC"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3</w:t>
            </w:r>
            <w:r w:rsidR="00573285" w:rsidRPr="00096041">
              <w:rPr>
                <w:rFonts w:ascii="Calibri" w:eastAsia="Times New Roman" w:hAnsi="Calibri" w:cs="Times New Roman"/>
                <w:sz w:val="24"/>
                <w:szCs w:val="24"/>
                <w:lang w:eastAsia="en-GB"/>
              </w:rPr>
              <w:t>56</w:t>
            </w:r>
          </w:p>
        </w:tc>
        <w:tc>
          <w:tcPr>
            <w:tcW w:w="1243" w:type="dxa"/>
            <w:tcBorders>
              <w:top w:val="nil"/>
              <w:left w:val="nil"/>
              <w:bottom w:val="nil"/>
              <w:right w:val="nil"/>
            </w:tcBorders>
            <w:shd w:val="clear" w:color="auto" w:fill="auto"/>
            <w:noWrap/>
            <w:vAlign w:val="bottom"/>
            <w:hideMark/>
          </w:tcPr>
          <w:p w:rsidR="00B3238B" w:rsidRPr="00096041" w:rsidRDefault="00C96C30"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2227</w:t>
            </w:r>
          </w:p>
        </w:tc>
        <w:tc>
          <w:tcPr>
            <w:tcW w:w="1188" w:type="dxa"/>
            <w:tcBorders>
              <w:top w:val="nil"/>
              <w:left w:val="nil"/>
              <w:bottom w:val="nil"/>
              <w:right w:val="single" w:sz="4" w:space="0" w:color="auto"/>
            </w:tcBorders>
            <w:shd w:val="clear" w:color="auto" w:fill="auto"/>
            <w:noWrap/>
            <w:vAlign w:val="bottom"/>
            <w:hideMark/>
          </w:tcPr>
          <w:p w:rsidR="00B3238B" w:rsidRPr="00096041" w:rsidRDefault="005C5CDE"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1</w:t>
            </w:r>
            <w:r w:rsidR="00573285" w:rsidRPr="00096041">
              <w:rPr>
                <w:rFonts w:ascii="Calibri" w:eastAsia="Times New Roman" w:hAnsi="Calibri" w:cs="Times New Roman"/>
                <w:sz w:val="24"/>
                <w:szCs w:val="24"/>
                <w:lang w:eastAsia="en-GB"/>
              </w:rPr>
              <w:t>5</w:t>
            </w:r>
            <w:r w:rsidRPr="00096041">
              <w:rPr>
                <w:rFonts w:ascii="Calibri" w:eastAsia="Times New Roman" w:hAnsi="Calibri" w:cs="Times New Roman"/>
                <w:sz w:val="24"/>
                <w:szCs w:val="24"/>
                <w:lang w:eastAsia="en-GB"/>
              </w:rPr>
              <w:t>.</w:t>
            </w:r>
            <w:r w:rsidR="00573285" w:rsidRPr="00096041">
              <w:rPr>
                <w:rFonts w:ascii="Calibri" w:eastAsia="Times New Roman" w:hAnsi="Calibri" w:cs="Times New Roman"/>
                <w:sz w:val="24"/>
                <w:szCs w:val="24"/>
                <w:lang w:eastAsia="en-GB"/>
              </w:rPr>
              <w:t>98</w:t>
            </w:r>
            <w:r w:rsidRPr="00096041">
              <w:rPr>
                <w:rFonts w:ascii="Calibri" w:eastAsia="Times New Roman" w:hAnsi="Calibri" w:cs="Times New Roman"/>
                <w:sz w:val="24"/>
                <w:szCs w:val="24"/>
                <w:lang w:eastAsia="en-GB"/>
              </w:rPr>
              <w:t>%</w:t>
            </w:r>
          </w:p>
        </w:tc>
      </w:tr>
      <w:tr w:rsidR="00B3238B" w:rsidRPr="00096041" w:rsidTr="00C96C30">
        <w:trPr>
          <w:trHeight w:val="300"/>
        </w:trPr>
        <w:tc>
          <w:tcPr>
            <w:tcW w:w="692" w:type="dxa"/>
            <w:tcBorders>
              <w:top w:val="nil"/>
              <w:left w:val="single" w:sz="4" w:space="0" w:color="auto"/>
              <w:bottom w:val="nil"/>
              <w:right w:val="single" w:sz="4" w:space="0" w:color="auto"/>
            </w:tcBorders>
            <w:shd w:val="clear" w:color="auto" w:fill="auto"/>
            <w:noWrap/>
            <w:vAlign w:val="bottom"/>
            <w:hideMark/>
          </w:tcPr>
          <w:p w:rsidR="00B3238B" w:rsidRPr="00096041" w:rsidRDefault="00B3238B"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L</w:t>
            </w:r>
            <w:r w:rsidR="00183659" w:rsidRPr="00096041">
              <w:rPr>
                <w:rFonts w:ascii="Calibri" w:eastAsia="Times New Roman" w:hAnsi="Calibri" w:cs="Times New Roman"/>
                <w:sz w:val="24"/>
                <w:szCs w:val="24"/>
                <w:lang w:eastAsia="en-GB"/>
              </w:rPr>
              <w:t>S</w:t>
            </w:r>
            <w:r w:rsidRPr="00096041">
              <w:rPr>
                <w:rFonts w:ascii="Calibri" w:eastAsia="Times New Roman" w:hAnsi="Calibri" w:cs="Times New Roman"/>
                <w:sz w:val="24"/>
                <w:szCs w:val="24"/>
                <w:lang w:eastAsia="en-GB"/>
              </w:rPr>
              <w:t>S</w:t>
            </w:r>
          </w:p>
        </w:tc>
        <w:tc>
          <w:tcPr>
            <w:tcW w:w="1007" w:type="dxa"/>
            <w:tcBorders>
              <w:top w:val="nil"/>
              <w:left w:val="single" w:sz="4" w:space="0" w:color="auto"/>
              <w:bottom w:val="nil"/>
              <w:right w:val="nil"/>
            </w:tcBorders>
            <w:shd w:val="clear" w:color="auto" w:fill="auto"/>
            <w:noWrap/>
            <w:vAlign w:val="bottom"/>
            <w:hideMark/>
          </w:tcPr>
          <w:p w:rsidR="00B3238B" w:rsidRPr="00096041" w:rsidRDefault="005C5CDE"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3</w:t>
            </w:r>
            <w:r w:rsidR="00573285" w:rsidRPr="00096041">
              <w:rPr>
                <w:rFonts w:ascii="Calibri" w:eastAsia="Times New Roman" w:hAnsi="Calibri" w:cs="Times New Roman"/>
                <w:sz w:val="24"/>
                <w:szCs w:val="24"/>
                <w:lang w:eastAsia="en-GB"/>
              </w:rPr>
              <w:t>47</w:t>
            </w:r>
          </w:p>
        </w:tc>
        <w:tc>
          <w:tcPr>
            <w:tcW w:w="1243" w:type="dxa"/>
            <w:tcBorders>
              <w:top w:val="nil"/>
              <w:left w:val="nil"/>
              <w:bottom w:val="nil"/>
              <w:right w:val="nil"/>
            </w:tcBorders>
            <w:shd w:val="clear" w:color="auto" w:fill="auto"/>
            <w:noWrap/>
            <w:vAlign w:val="bottom"/>
            <w:hideMark/>
          </w:tcPr>
          <w:p w:rsidR="00B3238B" w:rsidRPr="00096041" w:rsidRDefault="00C96C30"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1844</w:t>
            </w:r>
          </w:p>
        </w:tc>
        <w:tc>
          <w:tcPr>
            <w:tcW w:w="1188" w:type="dxa"/>
            <w:tcBorders>
              <w:top w:val="nil"/>
              <w:left w:val="nil"/>
              <w:bottom w:val="nil"/>
              <w:right w:val="single" w:sz="4" w:space="0" w:color="auto"/>
            </w:tcBorders>
            <w:shd w:val="clear" w:color="auto" w:fill="auto"/>
            <w:noWrap/>
            <w:vAlign w:val="bottom"/>
            <w:hideMark/>
          </w:tcPr>
          <w:p w:rsidR="00B3238B" w:rsidRPr="00096041" w:rsidRDefault="005C5CDE"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1</w:t>
            </w:r>
            <w:r w:rsidR="00573285" w:rsidRPr="00096041">
              <w:rPr>
                <w:rFonts w:ascii="Calibri" w:eastAsia="Times New Roman" w:hAnsi="Calibri" w:cs="Times New Roman"/>
                <w:sz w:val="24"/>
                <w:szCs w:val="24"/>
                <w:lang w:eastAsia="en-GB"/>
              </w:rPr>
              <w:t>8</w:t>
            </w:r>
            <w:r w:rsidRPr="00096041">
              <w:rPr>
                <w:rFonts w:ascii="Calibri" w:eastAsia="Times New Roman" w:hAnsi="Calibri" w:cs="Times New Roman"/>
                <w:sz w:val="24"/>
                <w:szCs w:val="24"/>
                <w:lang w:eastAsia="en-GB"/>
              </w:rPr>
              <w:t>.</w:t>
            </w:r>
            <w:r w:rsidR="00345AEC" w:rsidRPr="00096041">
              <w:rPr>
                <w:rFonts w:ascii="Calibri" w:eastAsia="Times New Roman" w:hAnsi="Calibri" w:cs="Times New Roman"/>
                <w:sz w:val="24"/>
                <w:szCs w:val="24"/>
                <w:lang w:eastAsia="en-GB"/>
              </w:rPr>
              <w:t>8</w:t>
            </w:r>
            <w:r w:rsidR="00573285" w:rsidRPr="00096041">
              <w:rPr>
                <w:rFonts w:ascii="Calibri" w:eastAsia="Times New Roman" w:hAnsi="Calibri" w:cs="Times New Roman"/>
                <w:sz w:val="24"/>
                <w:szCs w:val="24"/>
                <w:lang w:eastAsia="en-GB"/>
              </w:rPr>
              <w:t>1</w:t>
            </w:r>
            <w:r w:rsidRPr="00096041">
              <w:rPr>
                <w:rFonts w:ascii="Calibri" w:eastAsia="Times New Roman" w:hAnsi="Calibri" w:cs="Times New Roman"/>
                <w:sz w:val="24"/>
                <w:szCs w:val="24"/>
                <w:lang w:eastAsia="en-GB"/>
              </w:rPr>
              <w:t>%</w:t>
            </w:r>
          </w:p>
        </w:tc>
      </w:tr>
      <w:tr w:rsidR="00B3238B" w:rsidRPr="00096041" w:rsidTr="00C96C30">
        <w:trPr>
          <w:trHeight w:val="300"/>
        </w:trPr>
        <w:tc>
          <w:tcPr>
            <w:tcW w:w="692" w:type="dxa"/>
            <w:tcBorders>
              <w:top w:val="nil"/>
              <w:left w:val="single" w:sz="4" w:space="0" w:color="auto"/>
              <w:bottom w:val="nil"/>
              <w:right w:val="single" w:sz="4" w:space="0" w:color="auto"/>
            </w:tcBorders>
            <w:shd w:val="clear" w:color="auto" w:fill="auto"/>
            <w:noWrap/>
            <w:vAlign w:val="bottom"/>
            <w:hideMark/>
          </w:tcPr>
          <w:p w:rsidR="00B3238B" w:rsidRPr="00096041" w:rsidRDefault="00B3238B"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PSY</w:t>
            </w:r>
          </w:p>
        </w:tc>
        <w:tc>
          <w:tcPr>
            <w:tcW w:w="1007" w:type="dxa"/>
            <w:tcBorders>
              <w:top w:val="nil"/>
              <w:left w:val="single" w:sz="4" w:space="0" w:color="auto"/>
              <w:bottom w:val="nil"/>
              <w:right w:val="nil"/>
            </w:tcBorders>
            <w:shd w:val="clear" w:color="auto" w:fill="auto"/>
            <w:noWrap/>
            <w:vAlign w:val="bottom"/>
            <w:hideMark/>
          </w:tcPr>
          <w:p w:rsidR="00B3238B" w:rsidRPr="00096041" w:rsidRDefault="005C5CDE"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2</w:t>
            </w:r>
            <w:r w:rsidR="00573285" w:rsidRPr="00096041">
              <w:rPr>
                <w:rFonts w:ascii="Calibri" w:eastAsia="Times New Roman" w:hAnsi="Calibri" w:cs="Times New Roman"/>
                <w:sz w:val="24"/>
                <w:szCs w:val="24"/>
                <w:lang w:eastAsia="en-GB"/>
              </w:rPr>
              <w:t>4</w:t>
            </w:r>
            <w:r w:rsidR="00345AEC" w:rsidRPr="00096041">
              <w:rPr>
                <w:rFonts w:ascii="Calibri" w:eastAsia="Times New Roman" w:hAnsi="Calibri" w:cs="Times New Roman"/>
                <w:sz w:val="24"/>
                <w:szCs w:val="24"/>
                <w:lang w:eastAsia="en-GB"/>
              </w:rPr>
              <w:t>3</w:t>
            </w:r>
          </w:p>
        </w:tc>
        <w:tc>
          <w:tcPr>
            <w:tcW w:w="1243" w:type="dxa"/>
            <w:tcBorders>
              <w:top w:val="nil"/>
              <w:left w:val="nil"/>
              <w:bottom w:val="nil"/>
              <w:right w:val="nil"/>
            </w:tcBorders>
            <w:shd w:val="clear" w:color="auto" w:fill="auto"/>
            <w:noWrap/>
            <w:vAlign w:val="bottom"/>
            <w:hideMark/>
          </w:tcPr>
          <w:p w:rsidR="00B3238B" w:rsidRPr="00096041" w:rsidRDefault="00C96C30"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1838</w:t>
            </w:r>
          </w:p>
        </w:tc>
        <w:tc>
          <w:tcPr>
            <w:tcW w:w="1188" w:type="dxa"/>
            <w:tcBorders>
              <w:top w:val="nil"/>
              <w:left w:val="nil"/>
              <w:bottom w:val="nil"/>
              <w:right w:val="single" w:sz="4" w:space="0" w:color="auto"/>
            </w:tcBorders>
            <w:shd w:val="clear" w:color="auto" w:fill="auto"/>
            <w:noWrap/>
            <w:vAlign w:val="bottom"/>
            <w:hideMark/>
          </w:tcPr>
          <w:p w:rsidR="00B3238B" w:rsidRPr="00096041" w:rsidRDefault="005C5CDE"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1</w:t>
            </w:r>
            <w:r w:rsidR="00345AEC" w:rsidRPr="00096041">
              <w:rPr>
                <w:rFonts w:ascii="Calibri" w:eastAsia="Times New Roman" w:hAnsi="Calibri" w:cs="Times New Roman"/>
                <w:sz w:val="24"/>
                <w:szCs w:val="24"/>
                <w:lang w:eastAsia="en-GB"/>
              </w:rPr>
              <w:t>3</w:t>
            </w:r>
            <w:r w:rsidRPr="00096041">
              <w:rPr>
                <w:rFonts w:ascii="Calibri" w:eastAsia="Times New Roman" w:hAnsi="Calibri" w:cs="Times New Roman"/>
                <w:sz w:val="24"/>
                <w:szCs w:val="24"/>
                <w:lang w:eastAsia="en-GB"/>
              </w:rPr>
              <w:t>.</w:t>
            </w:r>
            <w:r w:rsidR="00573285" w:rsidRPr="00096041">
              <w:rPr>
                <w:rFonts w:ascii="Calibri" w:eastAsia="Times New Roman" w:hAnsi="Calibri" w:cs="Times New Roman"/>
                <w:sz w:val="24"/>
                <w:szCs w:val="24"/>
                <w:lang w:eastAsia="en-GB"/>
              </w:rPr>
              <w:t>22</w:t>
            </w:r>
            <w:r w:rsidRPr="00096041">
              <w:rPr>
                <w:rFonts w:ascii="Calibri" w:eastAsia="Times New Roman" w:hAnsi="Calibri" w:cs="Times New Roman"/>
                <w:sz w:val="24"/>
                <w:szCs w:val="24"/>
                <w:lang w:eastAsia="en-GB"/>
              </w:rPr>
              <w:t>%</w:t>
            </w:r>
          </w:p>
        </w:tc>
      </w:tr>
      <w:tr w:rsidR="00B3238B" w:rsidRPr="00096041" w:rsidTr="00C96C30">
        <w:trPr>
          <w:trHeight w:val="300"/>
        </w:trPr>
        <w:tc>
          <w:tcPr>
            <w:tcW w:w="692" w:type="dxa"/>
            <w:tcBorders>
              <w:top w:val="nil"/>
              <w:left w:val="single" w:sz="4" w:space="0" w:color="auto"/>
              <w:bottom w:val="single" w:sz="4" w:space="0" w:color="auto"/>
              <w:right w:val="single" w:sz="4" w:space="0" w:color="auto"/>
            </w:tcBorders>
            <w:shd w:val="clear" w:color="auto" w:fill="auto"/>
            <w:noWrap/>
            <w:vAlign w:val="bottom"/>
            <w:hideMark/>
          </w:tcPr>
          <w:p w:rsidR="00B3238B" w:rsidRPr="00096041" w:rsidRDefault="00B3238B"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RDBS</w:t>
            </w:r>
          </w:p>
        </w:tc>
        <w:tc>
          <w:tcPr>
            <w:tcW w:w="1007" w:type="dxa"/>
            <w:tcBorders>
              <w:top w:val="nil"/>
              <w:left w:val="single" w:sz="4" w:space="0" w:color="auto"/>
              <w:bottom w:val="single" w:sz="4" w:space="0" w:color="auto"/>
              <w:right w:val="nil"/>
            </w:tcBorders>
            <w:shd w:val="clear" w:color="auto" w:fill="auto"/>
            <w:noWrap/>
            <w:vAlign w:val="bottom"/>
            <w:hideMark/>
          </w:tcPr>
          <w:p w:rsidR="00B3238B" w:rsidRPr="00096041" w:rsidRDefault="00573285"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198</w:t>
            </w:r>
          </w:p>
        </w:tc>
        <w:tc>
          <w:tcPr>
            <w:tcW w:w="1243" w:type="dxa"/>
            <w:tcBorders>
              <w:top w:val="nil"/>
              <w:left w:val="nil"/>
              <w:bottom w:val="single" w:sz="4" w:space="0" w:color="auto"/>
              <w:right w:val="nil"/>
            </w:tcBorders>
            <w:shd w:val="clear" w:color="auto" w:fill="auto"/>
            <w:noWrap/>
            <w:vAlign w:val="bottom"/>
            <w:hideMark/>
          </w:tcPr>
          <w:p w:rsidR="00B3238B" w:rsidRPr="00096041" w:rsidRDefault="00C96C30"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2298</w:t>
            </w:r>
          </w:p>
        </w:tc>
        <w:tc>
          <w:tcPr>
            <w:tcW w:w="1188" w:type="dxa"/>
            <w:tcBorders>
              <w:top w:val="nil"/>
              <w:left w:val="nil"/>
              <w:bottom w:val="single" w:sz="4" w:space="0" w:color="auto"/>
              <w:right w:val="single" w:sz="4" w:space="0" w:color="auto"/>
            </w:tcBorders>
            <w:shd w:val="clear" w:color="auto" w:fill="auto"/>
            <w:noWrap/>
            <w:vAlign w:val="bottom"/>
            <w:hideMark/>
          </w:tcPr>
          <w:p w:rsidR="00B3238B" w:rsidRPr="00096041" w:rsidRDefault="005C5CDE" w:rsidP="00096041">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8.</w:t>
            </w:r>
            <w:r w:rsidR="00573285" w:rsidRPr="00096041">
              <w:rPr>
                <w:rFonts w:ascii="Calibri" w:eastAsia="Times New Roman" w:hAnsi="Calibri" w:cs="Times New Roman"/>
                <w:sz w:val="24"/>
                <w:szCs w:val="24"/>
                <w:lang w:eastAsia="en-GB"/>
              </w:rPr>
              <w:t>61</w:t>
            </w:r>
            <w:r w:rsidRPr="00096041">
              <w:rPr>
                <w:rFonts w:ascii="Calibri" w:eastAsia="Times New Roman" w:hAnsi="Calibri" w:cs="Times New Roman"/>
                <w:sz w:val="24"/>
                <w:szCs w:val="24"/>
                <w:lang w:eastAsia="en-GB"/>
              </w:rPr>
              <w:t>%</w:t>
            </w:r>
          </w:p>
        </w:tc>
      </w:tr>
    </w:tbl>
    <w:p w:rsidR="00C96C30" w:rsidRPr="00096041" w:rsidRDefault="00C96C30" w:rsidP="00C96C30">
      <w:pPr>
        <w:rPr>
          <w:sz w:val="24"/>
          <w:szCs w:val="24"/>
        </w:rPr>
      </w:pPr>
    </w:p>
    <w:p w:rsidR="00266691" w:rsidRPr="00096041" w:rsidRDefault="00266691" w:rsidP="00266691">
      <w:pPr>
        <w:pStyle w:val="ListParagraph"/>
        <w:ind w:left="0"/>
        <w:rPr>
          <w:sz w:val="24"/>
          <w:szCs w:val="24"/>
        </w:rPr>
      </w:pPr>
      <w:r w:rsidRPr="00096041">
        <w:rPr>
          <w:sz w:val="24"/>
          <w:szCs w:val="24"/>
        </w:rPr>
        <w:t>2.</w:t>
      </w:r>
      <w:r w:rsidR="00B3238B" w:rsidRPr="00096041">
        <w:rPr>
          <w:sz w:val="24"/>
          <w:szCs w:val="24"/>
        </w:rPr>
        <w:t>3</w:t>
      </w:r>
      <w:r w:rsidRPr="00096041">
        <w:rPr>
          <w:sz w:val="24"/>
          <w:szCs w:val="24"/>
        </w:rPr>
        <w:tab/>
      </w:r>
      <w:r w:rsidR="0083720D" w:rsidRPr="00096041">
        <w:rPr>
          <w:sz w:val="24"/>
          <w:szCs w:val="24"/>
        </w:rPr>
        <w:t>In 201</w:t>
      </w:r>
      <w:r w:rsidR="00CD2166" w:rsidRPr="00096041">
        <w:rPr>
          <w:sz w:val="24"/>
          <w:szCs w:val="24"/>
        </w:rPr>
        <w:t>2</w:t>
      </w:r>
      <w:r w:rsidR="0083720D" w:rsidRPr="00096041">
        <w:rPr>
          <w:sz w:val="24"/>
          <w:szCs w:val="24"/>
        </w:rPr>
        <w:t>-1</w:t>
      </w:r>
      <w:r w:rsidR="00CD2166" w:rsidRPr="00096041">
        <w:rPr>
          <w:sz w:val="24"/>
          <w:szCs w:val="24"/>
        </w:rPr>
        <w:t>3</w:t>
      </w:r>
      <w:r w:rsidR="0083720D" w:rsidRPr="00096041">
        <w:rPr>
          <w:sz w:val="24"/>
          <w:szCs w:val="24"/>
        </w:rPr>
        <w:t xml:space="preserve"> the overall percentage of </w:t>
      </w:r>
      <w:r w:rsidR="00223304" w:rsidRPr="00096041">
        <w:rPr>
          <w:sz w:val="24"/>
          <w:szCs w:val="24"/>
        </w:rPr>
        <w:t>successful claims was</w:t>
      </w:r>
      <w:r w:rsidR="0083720D" w:rsidRPr="00096041">
        <w:rPr>
          <w:sz w:val="24"/>
          <w:szCs w:val="24"/>
        </w:rPr>
        <w:t xml:space="preserve"> </w:t>
      </w:r>
      <w:r w:rsidR="002C3B51" w:rsidRPr="00096041">
        <w:rPr>
          <w:sz w:val="24"/>
          <w:szCs w:val="24"/>
        </w:rPr>
        <w:t>4</w:t>
      </w:r>
      <w:r w:rsidR="00E75C1E" w:rsidRPr="00096041">
        <w:rPr>
          <w:sz w:val="24"/>
          <w:szCs w:val="24"/>
        </w:rPr>
        <w:t>7.</w:t>
      </w:r>
      <w:r w:rsidR="002C3B51" w:rsidRPr="00096041">
        <w:rPr>
          <w:sz w:val="24"/>
          <w:szCs w:val="24"/>
        </w:rPr>
        <w:t>6</w:t>
      </w:r>
      <w:r w:rsidR="00E75C1E" w:rsidRPr="00096041">
        <w:rPr>
          <w:sz w:val="24"/>
          <w:szCs w:val="24"/>
        </w:rPr>
        <w:t>%</w:t>
      </w:r>
    </w:p>
    <w:p w:rsidR="002E756A" w:rsidRPr="00096041" w:rsidRDefault="002E756A" w:rsidP="00266691">
      <w:pPr>
        <w:pStyle w:val="ListParagraph"/>
        <w:ind w:left="0"/>
        <w:rPr>
          <w:sz w:val="24"/>
          <w:szCs w:val="24"/>
        </w:rPr>
      </w:pPr>
    </w:p>
    <w:p w:rsidR="002E756A" w:rsidRPr="00096041" w:rsidRDefault="002E756A" w:rsidP="002E756A">
      <w:pPr>
        <w:pStyle w:val="ListParagraph"/>
        <w:spacing w:after="0"/>
        <w:ind w:left="709"/>
        <w:rPr>
          <w:b/>
          <w:sz w:val="24"/>
          <w:szCs w:val="24"/>
        </w:rPr>
      </w:pPr>
      <w:r w:rsidRPr="00096041">
        <w:rPr>
          <w:b/>
          <w:sz w:val="24"/>
          <w:szCs w:val="24"/>
        </w:rPr>
        <w:t>Table 2</w:t>
      </w:r>
      <w:r w:rsidR="00B3238B" w:rsidRPr="00096041">
        <w:rPr>
          <w:b/>
          <w:sz w:val="24"/>
          <w:szCs w:val="24"/>
        </w:rPr>
        <w:t>b</w:t>
      </w:r>
      <w:r w:rsidRPr="00096041">
        <w:rPr>
          <w:b/>
          <w:sz w:val="24"/>
          <w:szCs w:val="24"/>
        </w:rPr>
        <w:t xml:space="preserve">: % Accepted claims by </w:t>
      </w:r>
      <w:r w:rsidR="002C3B51" w:rsidRPr="00096041">
        <w:rPr>
          <w:b/>
          <w:sz w:val="24"/>
          <w:szCs w:val="24"/>
        </w:rPr>
        <w:t>S</w:t>
      </w:r>
      <w:r w:rsidRPr="00096041">
        <w:rPr>
          <w:b/>
          <w:sz w:val="24"/>
          <w:szCs w:val="24"/>
        </w:rPr>
        <w:t>emester</w:t>
      </w:r>
      <w:r w:rsidR="002C3B51" w:rsidRPr="00096041">
        <w:rPr>
          <w:b/>
          <w:sz w:val="24"/>
          <w:szCs w:val="24"/>
        </w:rPr>
        <w:t>s</w:t>
      </w:r>
    </w:p>
    <w:tbl>
      <w:tblPr>
        <w:tblW w:w="2544" w:type="dxa"/>
        <w:tblInd w:w="825" w:type="dxa"/>
        <w:tblLook w:val="04A0"/>
      </w:tblPr>
      <w:tblGrid>
        <w:gridCol w:w="1188"/>
        <w:gridCol w:w="1356"/>
      </w:tblGrid>
      <w:tr w:rsidR="001C30D9" w:rsidRPr="00096041" w:rsidTr="00752A30">
        <w:trPr>
          <w:trHeight w:val="300"/>
        </w:trPr>
        <w:tc>
          <w:tcPr>
            <w:tcW w:w="1188" w:type="dxa"/>
            <w:tcBorders>
              <w:top w:val="single" w:sz="4" w:space="0" w:color="auto"/>
              <w:left w:val="single" w:sz="4" w:space="0" w:color="auto"/>
              <w:bottom w:val="single" w:sz="4" w:space="0" w:color="auto"/>
              <w:right w:val="nil"/>
            </w:tcBorders>
            <w:shd w:val="clear" w:color="auto" w:fill="auto"/>
            <w:noWrap/>
            <w:vAlign w:val="bottom"/>
            <w:hideMark/>
          </w:tcPr>
          <w:p w:rsidR="001C30D9" w:rsidRPr="00096041" w:rsidRDefault="001C30D9" w:rsidP="002E756A">
            <w:pPr>
              <w:spacing w:after="0" w:line="240" w:lineRule="auto"/>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 </w:t>
            </w:r>
          </w:p>
        </w:tc>
        <w:tc>
          <w:tcPr>
            <w:tcW w:w="1356" w:type="dxa"/>
            <w:tcBorders>
              <w:top w:val="single" w:sz="4" w:space="0" w:color="auto"/>
              <w:left w:val="nil"/>
              <w:bottom w:val="single" w:sz="4" w:space="0" w:color="auto"/>
              <w:right w:val="single" w:sz="4" w:space="0" w:color="auto"/>
            </w:tcBorders>
            <w:shd w:val="clear" w:color="auto" w:fill="auto"/>
            <w:noWrap/>
            <w:vAlign w:val="bottom"/>
            <w:hideMark/>
          </w:tcPr>
          <w:p w:rsidR="001C30D9" w:rsidRPr="00096041" w:rsidRDefault="001C30D9" w:rsidP="00752A30">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 Accept</w:t>
            </w:r>
          </w:p>
        </w:tc>
      </w:tr>
      <w:tr w:rsidR="001C30D9" w:rsidRPr="00096041" w:rsidTr="00752A30">
        <w:trPr>
          <w:trHeight w:val="300"/>
        </w:trPr>
        <w:tc>
          <w:tcPr>
            <w:tcW w:w="1188" w:type="dxa"/>
            <w:tcBorders>
              <w:top w:val="nil"/>
              <w:left w:val="single" w:sz="4" w:space="0" w:color="auto"/>
              <w:bottom w:val="nil"/>
              <w:right w:val="nil"/>
            </w:tcBorders>
            <w:shd w:val="clear" w:color="auto" w:fill="auto"/>
            <w:noWrap/>
            <w:vAlign w:val="bottom"/>
            <w:hideMark/>
          </w:tcPr>
          <w:p w:rsidR="001C30D9" w:rsidRPr="00096041" w:rsidRDefault="001C30D9" w:rsidP="00EF70CF">
            <w:pPr>
              <w:spacing w:after="0" w:line="240" w:lineRule="auto"/>
              <w:rPr>
                <w:rFonts w:ascii="Calibri" w:eastAsia="Times New Roman" w:hAnsi="Calibri" w:cs="Times New Roman"/>
                <w:sz w:val="24"/>
                <w:szCs w:val="24"/>
                <w:lang w:eastAsia="en-GB"/>
              </w:rPr>
            </w:pPr>
            <w:proofErr w:type="spellStart"/>
            <w:r w:rsidRPr="00096041">
              <w:rPr>
                <w:rFonts w:ascii="Calibri" w:eastAsia="Times New Roman" w:hAnsi="Calibri" w:cs="Times New Roman"/>
                <w:sz w:val="24"/>
                <w:szCs w:val="24"/>
                <w:lang w:eastAsia="en-GB"/>
              </w:rPr>
              <w:t>Sem</w:t>
            </w:r>
            <w:proofErr w:type="spellEnd"/>
            <w:r w:rsidRPr="00096041">
              <w:rPr>
                <w:rFonts w:ascii="Calibri" w:eastAsia="Times New Roman" w:hAnsi="Calibri" w:cs="Times New Roman"/>
                <w:sz w:val="24"/>
                <w:szCs w:val="24"/>
                <w:lang w:eastAsia="en-GB"/>
              </w:rPr>
              <w:t xml:space="preserve"> A</w:t>
            </w:r>
          </w:p>
        </w:tc>
        <w:tc>
          <w:tcPr>
            <w:tcW w:w="1356" w:type="dxa"/>
            <w:tcBorders>
              <w:top w:val="nil"/>
              <w:left w:val="nil"/>
              <w:bottom w:val="nil"/>
              <w:right w:val="single" w:sz="4" w:space="0" w:color="auto"/>
            </w:tcBorders>
            <w:shd w:val="clear" w:color="auto" w:fill="auto"/>
            <w:noWrap/>
            <w:vAlign w:val="bottom"/>
            <w:hideMark/>
          </w:tcPr>
          <w:p w:rsidR="001C30D9" w:rsidRPr="00096041" w:rsidRDefault="001C30D9" w:rsidP="00752A30">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6</w:t>
            </w:r>
            <w:r w:rsidR="00CD2166" w:rsidRPr="00096041">
              <w:rPr>
                <w:rFonts w:ascii="Calibri" w:eastAsia="Times New Roman" w:hAnsi="Calibri" w:cs="Times New Roman"/>
                <w:sz w:val="24"/>
                <w:szCs w:val="24"/>
                <w:lang w:eastAsia="en-GB"/>
              </w:rPr>
              <w:t>3</w:t>
            </w:r>
            <w:r w:rsidRPr="00096041">
              <w:rPr>
                <w:rFonts w:ascii="Calibri" w:eastAsia="Times New Roman" w:hAnsi="Calibri" w:cs="Times New Roman"/>
                <w:sz w:val="24"/>
                <w:szCs w:val="24"/>
                <w:lang w:eastAsia="en-GB"/>
              </w:rPr>
              <w:t>.</w:t>
            </w:r>
            <w:r w:rsidR="00CD2166" w:rsidRPr="00096041">
              <w:rPr>
                <w:rFonts w:ascii="Calibri" w:eastAsia="Times New Roman" w:hAnsi="Calibri" w:cs="Times New Roman"/>
                <w:sz w:val="24"/>
                <w:szCs w:val="24"/>
                <w:lang w:eastAsia="en-GB"/>
              </w:rPr>
              <w:t>3</w:t>
            </w:r>
            <w:r w:rsidRPr="00096041">
              <w:rPr>
                <w:rFonts w:ascii="Calibri" w:eastAsia="Times New Roman" w:hAnsi="Calibri" w:cs="Times New Roman"/>
                <w:sz w:val="24"/>
                <w:szCs w:val="24"/>
                <w:lang w:eastAsia="en-GB"/>
              </w:rPr>
              <w:t>%</w:t>
            </w:r>
          </w:p>
        </w:tc>
      </w:tr>
      <w:tr w:rsidR="001C30D9" w:rsidRPr="00096041" w:rsidTr="00752A30">
        <w:trPr>
          <w:trHeight w:val="300"/>
        </w:trPr>
        <w:tc>
          <w:tcPr>
            <w:tcW w:w="1188" w:type="dxa"/>
            <w:tcBorders>
              <w:top w:val="nil"/>
              <w:left w:val="single" w:sz="4" w:space="0" w:color="auto"/>
              <w:bottom w:val="nil"/>
              <w:right w:val="nil"/>
            </w:tcBorders>
            <w:shd w:val="clear" w:color="auto" w:fill="auto"/>
            <w:noWrap/>
            <w:vAlign w:val="bottom"/>
            <w:hideMark/>
          </w:tcPr>
          <w:p w:rsidR="001C30D9" w:rsidRPr="00096041" w:rsidRDefault="001C30D9" w:rsidP="00EF70CF">
            <w:pPr>
              <w:spacing w:after="0" w:line="240" w:lineRule="auto"/>
              <w:rPr>
                <w:rFonts w:ascii="Calibri" w:eastAsia="Times New Roman" w:hAnsi="Calibri" w:cs="Times New Roman"/>
                <w:sz w:val="24"/>
                <w:szCs w:val="24"/>
                <w:lang w:eastAsia="en-GB"/>
              </w:rPr>
            </w:pPr>
            <w:proofErr w:type="spellStart"/>
            <w:r w:rsidRPr="00096041">
              <w:rPr>
                <w:rFonts w:ascii="Calibri" w:eastAsia="Times New Roman" w:hAnsi="Calibri" w:cs="Times New Roman"/>
                <w:sz w:val="24"/>
                <w:szCs w:val="24"/>
                <w:lang w:eastAsia="en-GB"/>
              </w:rPr>
              <w:t>Sem</w:t>
            </w:r>
            <w:proofErr w:type="spellEnd"/>
            <w:r w:rsidRPr="00096041">
              <w:rPr>
                <w:rFonts w:ascii="Calibri" w:eastAsia="Times New Roman" w:hAnsi="Calibri" w:cs="Times New Roman"/>
                <w:sz w:val="24"/>
                <w:szCs w:val="24"/>
                <w:lang w:eastAsia="en-GB"/>
              </w:rPr>
              <w:t xml:space="preserve"> B</w:t>
            </w:r>
          </w:p>
        </w:tc>
        <w:tc>
          <w:tcPr>
            <w:tcW w:w="1356" w:type="dxa"/>
            <w:tcBorders>
              <w:top w:val="nil"/>
              <w:left w:val="nil"/>
              <w:bottom w:val="nil"/>
              <w:right w:val="single" w:sz="4" w:space="0" w:color="auto"/>
            </w:tcBorders>
            <w:shd w:val="clear" w:color="auto" w:fill="auto"/>
            <w:noWrap/>
            <w:vAlign w:val="bottom"/>
            <w:hideMark/>
          </w:tcPr>
          <w:p w:rsidR="001C30D9" w:rsidRPr="00096041" w:rsidRDefault="00CD2166" w:rsidP="00752A30">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55.5</w:t>
            </w:r>
            <w:r w:rsidR="001C30D9" w:rsidRPr="00096041">
              <w:rPr>
                <w:rFonts w:ascii="Calibri" w:eastAsia="Times New Roman" w:hAnsi="Calibri" w:cs="Times New Roman"/>
                <w:sz w:val="24"/>
                <w:szCs w:val="24"/>
                <w:lang w:eastAsia="en-GB"/>
              </w:rPr>
              <w:t>%</w:t>
            </w:r>
          </w:p>
        </w:tc>
      </w:tr>
      <w:tr w:rsidR="001C30D9" w:rsidRPr="00096041" w:rsidTr="00752A30">
        <w:trPr>
          <w:trHeight w:val="300"/>
        </w:trPr>
        <w:tc>
          <w:tcPr>
            <w:tcW w:w="1188" w:type="dxa"/>
            <w:tcBorders>
              <w:top w:val="nil"/>
              <w:left w:val="single" w:sz="4" w:space="0" w:color="auto"/>
              <w:bottom w:val="nil"/>
              <w:right w:val="nil"/>
            </w:tcBorders>
            <w:shd w:val="clear" w:color="auto" w:fill="auto"/>
            <w:noWrap/>
            <w:vAlign w:val="bottom"/>
            <w:hideMark/>
          </w:tcPr>
          <w:p w:rsidR="001C30D9" w:rsidRPr="00096041" w:rsidRDefault="001C30D9" w:rsidP="00EF70CF">
            <w:pPr>
              <w:spacing w:after="0" w:line="240" w:lineRule="auto"/>
              <w:rPr>
                <w:rFonts w:ascii="Calibri" w:eastAsia="Times New Roman" w:hAnsi="Calibri" w:cs="Times New Roman"/>
                <w:sz w:val="24"/>
                <w:szCs w:val="24"/>
                <w:lang w:eastAsia="en-GB"/>
              </w:rPr>
            </w:pPr>
            <w:proofErr w:type="spellStart"/>
            <w:r w:rsidRPr="00096041">
              <w:rPr>
                <w:rFonts w:ascii="Calibri" w:eastAsia="Times New Roman" w:hAnsi="Calibri" w:cs="Times New Roman"/>
                <w:sz w:val="24"/>
                <w:szCs w:val="24"/>
                <w:lang w:eastAsia="en-GB"/>
              </w:rPr>
              <w:t>Resit</w:t>
            </w:r>
            <w:proofErr w:type="spellEnd"/>
          </w:p>
        </w:tc>
        <w:tc>
          <w:tcPr>
            <w:tcW w:w="1356" w:type="dxa"/>
            <w:tcBorders>
              <w:top w:val="nil"/>
              <w:left w:val="nil"/>
              <w:bottom w:val="nil"/>
              <w:right w:val="single" w:sz="4" w:space="0" w:color="auto"/>
            </w:tcBorders>
            <w:shd w:val="clear" w:color="auto" w:fill="auto"/>
            <w:noWrap/>
            <w:vAlign w:val="bottom"/>
            <w:hideMark/>
          </w:tcPr>
          <w:p w:rsidR="001C30D9" w:rsidRPr="00096041" w:rsidRDefault="002C3B51" w:rsidP="00752A30">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24.0%</w:t>
            </w:r>
          </w:p>
        </w:tc>
      </w:tr>
      <w:tr w:rsidR="001C30D9" w:rsidRPr="00096041" w:rsidTr="00752A30">
        <w:trPr>
          <w:trHeight w:val="300"/>
        </w:trPr>
        <w:tc>
          <w:tcPr>
            <w:tcW w:w="1188" w:type="dxa"/>
            <w:tcBorders>
              <w:top w:val="nil"/>
              <w:left w:val="single" w:sz="4" w:space="0" w:color="auto"/>
              <w:bottom w:val="single" w:sz="4" w:space="0" w:color="auto"/>
              <w:right w:val="nil"/>
            </w:tcBorders>
            <w:shd w:val="clear" w:color="000000" w:fill="C5D9F1"/>
            <w:noWrap/>
            <w:vAlign w:val="bottom"/>
            <w:hideMark/>
          </w:tcPr>
          <w:p w:rsidR="001C30D9" w:rsidRPr="00096041" w:rsidRDefault="001C30D9" w:rsidP="00EF70CF">
            <w:pPr>
              <w:spacing w:after="0" w:line="240" w:lineRule="auto"/>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Total</w:t>
            </w:r>
          </w:p>
        </w:tc>
        <w:tc>
          <w:tcPr>
            <w:tcW w:w="1356" w:type="dxa"/>
            <w:tcBorders>
              <w:top w:val="nil"/>
              <w:left w:val="nil"/>
              <w:bottom w:val="single" w:sz="4" w:space="0" w:color="auto"/>
              <w:right w:val="single" w:sz="4" w:space="0" w:color="auto"/>
            </w:tcBorders>
            <w:shd w:val="clear" w:color="000000" w:fill="C5D9F1"/>
            <w:noWrap/>
            <w:vAlign w:val="bottom"/>
            <w:hideMark/>
          </w:tcPr>
          <w:p w:rsidR="001C30D9" w:rsidRPr="00096041" w:rsidRDefault="002C3B51" w:rsidP="00752A30">
            <w:pPr>
              <w:spacing w:after="0" w:line="240" w:lineRule="auto"/>
              <w:jc w:val="center"/>
              <w:rPr>
                <w:rFonts w:ascii="Calibri" w:eastAsia="Times New Roman" w:hAnsi="Calibri" w:cs="Times New Roman"/>
                <w:sz w:val="24"/>
                <w:szCs w:val="24"/>
                <w:lang w:eastAsia="en-GB"/>
              </w:rPr>
            </w:pPr>
            <w:r w:rsidRPr="00096041">
              <w:rPr>
                <w:rFonts w:ascii="Calibri" w:eastAsia="Times New Roman" w:hAnsi="Calibri" w:cs="Times New Roman"/>
                <w:sz w:val="24"/>
                <w:szCs w:val="24"/>
                <w:lang w:eastAsia="en-GB"/>
              </w:rPr>
              <w:t>47.6%</w:t>
            </w:r>
          </w:p>
        </w:tc>
      </w:tr>
    </w:tbl>
    <w:p w:rsidR="001C30D9" w:rsidRPr="00096041" w:rsidRDefault="001C30D9" w:rsidP="00266691">
      <w:pPr>
        <w:pStyle w:val="ListParagraph"/>
        <w:ind w:left="0"/>
        <w:rPr>
          <w:sz w:val="24"/>
          <w:szCs w:val="24"/>
        </w:rPr>
      </w:pPr>
    </w:p>
    <w:p w:rsidR="001C30D9" w:rsidRPr="00096041" w:rsidRDefault="002E756A" w:rsidP="00E23825">
      <w:pPr>
        <w:pStyle w:val="ListParagraph"/>
        <w:ind w:left="709"/>
        <w:jc w:val="both"/>
        <w:rPr>
          <w:sz w:val="24"/>
          <w:szCs w:val="24"/>
        </w:rPr>
      </w:pPr>
      <w:r w:rsidRPr="00096041">
        <w:rPr>
          <w:sz w:val="24"/>
          <w:szCs w:val="24"/>
        </w:rPr>
        <w:tab/>
        <w:t xml:space="preserve">As modules are capped if not passed on the first attempt, claims for reassessment are more likely to result in a technical reject.  When </w:t>
      </w:r>
      <w:r w:rsidR="00022517" w:rsidRPr="00096041">
        <w:rPr>
          <w:sz w:val="24"/>
          <w:szCs w:val="24"/>
        </w:rPr>
        <w:t>t</w:t>
      </w:r>
      <w:r w:rsidRPr="00096041">
        <w:rPr>
          <w:sz w:val="24"/>
          <w:szCs w:val="24"/>
        </w:rPr>
        <w:t xml:space="preserve">he reassessment period </w:t>
      </w:r>
      <w:r w:rsidR="00024A7F">
        <w:rPr>
          <w:sz w:val="24"/>
          <w:szCs w:val="24"/>
        </w:rPr>
        <w:t>is not included in the calculation</w:t>
      </w:r>
      <w:r w:rsidRPr="00096041">
        <w:rPr>
          <w:sz w:val="24"/>
          <w:szCs w:val="24"/>
        </w:rPr>
        <w:t xml:space="preserve">, </w:t>
      </w:r>
      <w:r w:rsidR="00C568AB" w:rsidRPr="00096041">
        <w:rPr>
          <w:sz w:val="24"/>
          <w:szCs w:val="24"/>
        </w:rPr>
        <w:t>the average</w:t>
      </w:r>
      <w:r w:rsidRPr="00096041">
        <w:rPr>
          <w:sz w:val="24"/>
          <w:szCs w:val="24"/>
        </w:rPr>
        <w:t xml:space="preserve"> success rate </w:t>
      </w:r>
      <w:r w:rsidR="00C568AB" w:rsidRPr="00096041">
        <w:rPr>
          <w:sz w:val="24"/>
          <w:szCs w:val="24"/>
        </w:rPr>
        <w:t>for</w:t>
      </w:r>
      <w:r w:rsidR="00096041" w:rsidRPr="00096041">
        <w:rPr>
          <w:sz w:val="24"/>
          <w:szCs w:val="24"/>
        </w:rPr>
        <w:t xml:space="preserve"> the</w:t>
      </w:r>
      <w:r w:rsidR="00C568AB" w:rsidRPr="00096041">
        <w:rPr>
          <w:sz w:val="24"/>
          <w:szCs w:val="24"/>
        </w:rPr>
        <w:t xml:space="preserve"> 201</w:t>
      </w:r>
      <w:r w:rsidR="005641B5" w:rsidRPr="00096041">
        <w:rPr>
          <w:sz w:val="24"/>
          <w:szCs w:val="24"/>
        </w:rPr>
        <w:t>2</w:t>
      </w:r>
      <w:r w:rsidR="00C568AB" w:rsidRPr="00096041">
        <w:rPr>
          <w:sz w:val="24"/>
          <w:szCs w:val="24"/>
        </w:rPr>
        <w:t>-1</w:t>
      </w:r>
      <w:r w:rsidR="005641B5" w:rsidRPr="00096041">
        <w:rPr>
          <w:sz w:val="24"/>
          <w:szCs w:val="24"/>
        </w:rPr>
        <w:t>3</w:t>
      </w:r>
      <w:r w:rsidR="00096041" w:rsidRPr="00096041">
        <w:rPr>
          <w:sz w:val="24"/>
          <w:szCs w:val="24"/>
        </w:rPr>
        <w:t xml:space="preserve"> academic year</w:t>
      </w:r>
      <w:r w:rsidR="00C568AB" w:rsidRPr="00096041">
        <w:rPr>
          <w:sz w:val="24"/>
          <w:szCs w:val="24"/>
        </w:rPr>
        <w:t xml:space="preserve"> </w:t>
      </w:r>
      <w:r w:rsidR="00413BAC" w:rsidRPr="00096041">
        <w:rPr>
          <w:sz w:val="24"/>
          <w:szCs w:val="24"/>
        </w:rPr>
        <w:t>is</w:t>
      </w:r>
      <w:r w:rsidRPr="00096041">
        <w:rPr>
          <w:sz w:val="24"/>
          <w:szCs w:val="24"/>
        </w:rPr>
        <w:t xml:space="preserve"> </w:t>
      </w:r>
      <w:r w:rsidR="005641B5" w:rsidRPr="00096041">
        <w:rPr>
          <w:sz w:val="24"/>
          <w:szCs w:val="24"/>
        </w:rPr>
        <w:t>59</w:t>
      </w:r>
      <w:r w:rsidRPr="00096041">
        <w:rPr>
          <w:sz w:val="24"/>
          <w:szCs w:val="24"/>
        </w:rPr>
        <w:t>.</w:t>
      </w:r>
      <w:r w:rsidR="005641B5" w:rsidRPr="00096041">
        <w:rPr>
          <w:sz w:val="24"/>
          <w:szCs w:val="24"/>
        </w:rPr>
        <w:t>4</w:t>
      </w:r>
      <w:r w:rsidRPr="00096041">
        <w:rPr>
          <w:b/>
          <w:sz w:val="24"/>
          <w:szCs w:val="24"/>
        </w:rPr>
        <w:t>%</w:t>
      </w:r>
      <w:r w:rsidR="0068511C" w:rsidRPr="00096041">
        <w:rPr>
          <w:b/>
          <w:sz w:val="24"/>
          <w:szCs w:val="24"/>
        </w:rPr>
        <w:t xml:space="preserve"> </w:t>
      </w:r>
      <w:r w:rsidR="0068511C" w:rsidRPr="00096041">
        <w:rPr>
          <w:sz w:val="24"/>
          <w:szCs w:val="24"/>
        </w:rPr>
        <w:t>(see Table 2</w:t>
      </w:r>
      <w:r w:rsidR="00F35DF7" w:rsidRPr="00096041">
        <w:rPr>
          <w:sz w:val="24"/>
          <w:szCs w:val="24"/>
        </w:rPr>
        <w:t>b</w:t>
      </w:r>
      <w:r w:rsidR="0068511C" w:rsidRPr="00096041">
        <w:rPr>
          <w:sz w:val="24"/>
          <w:szCs w:val="24"/>
        </w:rPr>
        <w:t>)</w:t>
      </w:r>
      <w:r w:rsidR="0088636A">
        <w:rPr>
          <w:sz w:val="24"/>
          <w:szCs w:val="24"/>
        </w:rPr>
        <w:t>, compared to 60.2% in 2011-12</w:t>
      </w:r>
      <w:r w:rsidRPr="00096041">
        <w:rPr>
          <w:sz w:val="24"/>
          <w:szCs w:val="24"/>
        </w:rPr>
        <w:t>.</w:t>
      </w:r>
      <w:r w:rsidR="002C3B51" w:rsidRPr="00096041">
        <w:rPr>
          <w:sz w:val="24"/>
          <w:szCs w:val="24"/>
        </w:rPr>
        <w:t xml:space="preserve"> In the 2012-13 academic </w:t>
      </w:r>
      <w:proofErr w:type="gramStart"/>
      <w:r w:rsidR="002C3B51" w:rsidRPr="00096041">
        <w:rPr>
          <w:sz w:val="24"/>
          <w:szCs w:val="24"/>
        </w:rPr>
        <w:t>year</w:t>
      </w:r>
      <w:proofErr w:type="gramEnd"/>
      <w:r w:rsidR="002C3B51" w:rsidRPr="00096041">
        <w:rPr>
          <w:sz w:val="24"/>
          <w:szCs w:val="24"/>
        </w:rPr>
        <w:t xml:space="preserve"> the overall </w:t>
      </w:r>
      <w:r w:rsidR="00024A7F">
        <w:rPr>
          <w:sz w:val="24"/>
          <w:szCs w:val="24"/>
        </w:rPr>
        <w:t>proportion</w:t>
      </w:r>
      <w:r w:rsidR="00024A7F" w:rsidRPr="00096041">
        <w:rPr>
          <w:sz w:val="24"/>
          <w:szCs w:val="24"/>
        </w:rPr>
        <w:t xml:space="preserve"> </w:t>
      </w:r>
      <w:r w:rsidR="002C3B51" w:rsidRPr="00096041">
        <w:rPr>
          <w:sz w:val="24"/>
          <w:szCs w:val="24"/>
        </w:rPr>
        <w:t xml:space="preserve">of successful claims </w:t>
      </w:r>
      <w:r w:rsidR="00743F18" w:rsidRPr="00096041">
        <w:rPr>
          <w:sz w:val="24"/>
          <w:szCs w:val="24"/>
        </w:rPr>
        <w:t>wa</w:t>
      </w:r>
      <w:r w:rsidR="002C3B51" w:rsidRPr="00096041">
        <w:rPr>
          <w:sz w:val="24"/>
          <w:szCs w:val="24"/>
        </w:rPr>
        <w:t>s 10</w:t>
      </w:r>
      <w:r w:rsidR="00024A7F">
        <w:rPr>
          <w:sz w:val="24"/>
          <w:szCs w:val="24"/>
        </w:rPr>
        <w:t xml:space="preserve"> percentage points lower compared to</w:t>
      </w:r>
      <w:r w:rsidR="002C3B51" w:rsidRPr="00096041">
        <w:rPr>
          <w:sz w:val="24"/>
          <w:szCs w:val="24"/>
        </w:rPr>
        <w:t xml:space="preserve"> 2011-12. One explanation is the reduced number of claims in the re</w:t>
      </w:r>
      <w:r w:rsidR="008D4EA1">
        <w:rPr>
          <w:sz w:val="24"/>
          <w:szCs w:val="24"/>
        </w:rPr>
        <w:t>-</w:t>
      </w:r>
      <w:r w:rsidR="00096041" w:rsidRPr="00096041">
        <w:rPr>
          <w:sz w:val="24"/>
          <w:szCs w:val="24"/>
        </w:rPr>
        <w:t>assessment</w:t>
      </w:r>
      <w:r w:rsidR="002C3B51" w:rsidRPr="00096041">
        <w:rPr>
          <w:sz w:val="24"/>
          <w:szCs w:val="24"/>
        </w:rPr>
        <w:t xml:space="preserve"> period and higher percentage of technical rejects. </w:t>
      </w:r>
    </w:p>
    <w:p w:rsidR="002E756A" w:rsidRPr="00096041" w:rsidRDefault="0068511C" w:rsidP="00E23825">
      <w:pPr>
        <w:pStyle w:val="ListParagraph"/>
        <w:ind w:left="709"/>
        <w:jc w:val="both"/>
        <w:rPr>
          <w:sz w:val="24"/>
          <w:szCs w:val="24"/>
        </w:rPr>
      </w:pPr>
      <w:r w:rsidRPr="00096041">
        <w:rPr>
          <w:sz w:val="24"/>
          <w:szCs w:val="24"/>
        </w:rPr>
        <w:t>Success rates for semesters A and B in previous academic years are shown in Chart 2</w:t>
      </w:r>
      <w:r w:rsidR="00B3238B" w:rsidRPr="00096041">
        <w:rPr>
          <w:sz w:val="24"/>
          <w:szCs w:val="24"/>
        </w:rPr>
        <w:t>c</w:t>
      </w:r>
      <w:r w:rsidR="00752A30">
        <w:rPr>
          <w:sz w:val="24"/>
          <w:szCs w:val="24"/>
        </w:rPr>
        <w:t>.</w:t>
      </w:r>
    </w:p>
    <w:p w:rsidR="00917DB3" w:rsidRPr="00096041" w:rsidRDefault="00917DB3" w:rsidP="00AD0AA1">
      <w:pPr>
        <w:pStyle w:val="ListParagraph"/>
        <w:spacing w:after="0"/>
        <w:ind w:left="709"/>
        <w:rPr>
          <w:b/>
          <w:sz w:val="24"/>
          <w:szCs w:val="24"/>
        </w:rPr>
      </w:pPr>
    </w:p>
    <w:p w:rsidR="00917DB3" w:rsidRPr="00096041" w:rsidRDefault="00585E88" w:rsidP="002E756A">
      <w:pPr>
        <w:pStyle w:val="ListParagraph"/>
        <w:ind w:left="709"/>
        <w:rPr>
          <w:color w:val="FF0000"/>
          <w:sz w:val="24"/>
          <w:szCs w:val="24"/>
        </w:rPr>
      </w:pPr>
      <w:r w:rsidRPr="00585E88">
        <w:rPr>
          <w:noProof/>
          <w:szCs w:val="24"/>
          <w:lang w:eastAsia="en-GB"/>
        </w:rPr>
        <w:lastRenderedPageBreak/>
        <w:drawing>
          <wp:inline distT="0" distB="0" distL="0" distR="0">
            <wp:extent cx="4547235" cy="2331720"/>
            <wp:effectExtent l="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4547235" cy="2331720"/>
                    </a:xfrm>
                    <a:prstGeom prst="rect">
                      <a:avLst/>
                    </a:prstGeom>
                    <a:noFill/>
                    <a:ln w="9525">
                      <a:noFill/>
                      <a:miter lim="800000"/>
                      <a:headEnd/>
                      <a:tailEnd/>
                    </a:ln>
                  </pic:spPr>
                </pic:pic>
              </a:graphicData>
            </a:graphic>
          </wp:inline>
        </w:drawing>
      </w:r>
    </w:p>
    <w:p w:rsidR="001F695E" w:rsidRPr="00096041" w:rsidRDefault="001F695E" w:rsidP="001F695E">
      <w:pPr>
        <w:pStyle w:val="ListParagraph"/>
        <w:spacing w:after="0"/>
        <w:ind w:left="709"/>
        <w:rPr>
          <w:b/>
          <w:sz w:val="24"/>
          <w:szCs w:val="24"/>
        </w:rPr>
      </w:pPr>
      <w:r w:rsidRPr="00096041">
        <w:rPr>
          <w:b/>
          <w:sz w:val="24"/>
          <w:szCs w:val="24"/>
        </w:rPr>
        <w:t>Chart 2c: % Semester A and B successful claims - annual comparison</w:t>
      </w:r>
    </w:p>
    <w:p w:rsidR="002E756A" w:rsidRDefault="002E756A" w:rsidP="00266691">
      <w:pPr>
        <w:pStyle w:val="ListParagraph"/>
        <w:ind w:left="0"/>
        <w:rPr>
          <w:color w:val="FF0000"/>
          <w:sz w:val="24"/>
          <w:szCs w:val="24"/>
        </w:rPr>
      </w:pPr>
    </w:p>
    <w:p w:rsidR="0077700C" w:rsidRDefault="0077700C" w:rsidP="00266691">
      <w:pPr>
        <w:pStyle w:val="ListParagraph"/>
        <w:ind w:left="0"/>
        <w:rPr>
          <w:color w:val="FF0000"/>
          <w:sz w:val="24"/>
          <w:szCs w:val="24"/>
        </w:rPr>
      </w:pPr>
    </w:p>
    <w:p w:rsidR="005641B5" w:rsidRPr="00096041" w:rsidRDefault="00C923A6" w:rsidP="00C923A6">
      <w:pPr>
        <w:pStyle w:val="ListParagraph"/>
        <w:ind w:left="0"/>
        <w:jc w:val="center"/>
        <w:rPr>
          <w:color w:val="FF0000"/>
          <w:sz w:val="24"/>
          <w:szCs w:val="24"/>
        </w:rPr>
      </w:pPr>
      <w:r w:rsidRPr="00096041">
        <w:rPr>
          <w:noProof/>
          <w:color w:val="FF0000"/>
          <w:sz w:val="24"/>
          <w:szCs w:val="24"/>
          <w:lang w:eastAsia="en-GB"/>
        </w:rPr>
        <w:drawing>
          <wp:inline distT="0" distB="0" distL="0" distR="0">
            <wp:extent cx="4665188" cy="2603419"/>
            <wp:effectExtent l="0" t="0" r="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85D15" w:rsidRPr="00285D15" w:rsidRDefault="00285D15" w:rsidP="00285D15">
      <w:pPr>
        <w:pStyle w:val="ListParagraph"/>
        <w:ind w:left="0"/>
        <w:jc w:val="center"/>
        <w:rPr>
          <w:b/>
          <w:sz w:val="24"/>
          <w:szCs w:val="24"/>
        </w:rPr>
      </w:pPr>
      <w:r w:rsidRPr="00285D15">
        <w:rPr>
          <w:b/>
          <w:sz w:val="24"/>
          <w:szCs w:val="24"/>
        </w:rPr>
        <w:t xml:space="preserve">Chart 2d Extenuation Claims by categories for Semester A and B  </w:t>
      </w:r>
    </w:p>
    <w:p w:rsidR="00285D15" w:rsidRDefault="00285D15" w:rsidP="00266691">
      <w:pPr>
        <w:pStyle w:val="ListParagraph"/>
        <w:ind w:left="0"/>
        <w:rPr>
          <w:sz w:val="24"/>
          <w:szCs w:val="24"/>
        </w:rPr>
      </w:pPr>
    </w:p>
    <w:p w:rsidR="00285D15" w:rsidRDefault="00285D15" w:rsidP="00266691">
      <w:pPr>
        <w:pStyle w:val="ListParagraph"/>
        <w:ind w:left="0"/>
        <w:rPr>
          <w:sz w:val="24"/>
          <w:szCs w:val="24"/>
        </w:rPr>
      </w:pPr>
    </w:p>
    <w:p w:rsidR="00B71F1C" w:rsidRDefault="00285D15" w:rsidP="00266691">
      <w:pPr>
        <w:pStyle w:val="ListParagraph"/>
        <w:ind w:left="0"/>
        <w:rPr>
          <w:sz w:val="24"/>
          <w:szCs w:val="24"/>
        </w:rPr>
      </w:pPr>
      <w:r w:rsidRPr="00096041">
        <w:rPr>
          <w:sz w:val="24"/>
          <w:szCs w:val="24"/>
        </w:rPr>
        <w:t xml:space="preserve">The above chart presents student claims for extenuation under 4 main categories. The data was extrapolated from the individual claims. </w:t>
      </w:r>
      <w:r>
        <w:rPr>
          <w:sz w:val="24"/>
          <w:szCs w:val="24"/>
        </w:rPr>
        <w:t xml:space="preserve">The categories were calculated based on primary evidence for each claim. </w:t>
      </w:r>
      <w:r w:rsidR="00FE57C4">
        <w:rPr>
          <w:sz w:val="24"/>
          <w:szCs w:val="24"/>
        </w:rPr>
        <w:t>In the medical category the claims related predominantly to a range of medical conditions and illnesses. The personal category contained claims related to death, marriage, assault, burglary (criminal activity), and pregnancy.  In the technical category the claims were mainly clustered around computer and IT issues. The late work category included claims wherein students noted that their submission was marginally late, but did not include any further supporting evidence to fit one of the other three categories.</w:t>
      </w:r>
      <w:r>
        <w:rPr>
          <w:sz w:val="24"/>
          <w:szCs w:val="24"/>
        </w:rPr>
        <w:t xml:space="preserve"> </w:t>
      </w:r>
      <w:r w:rsidRPr="00096041">
        <w:rPr>
          <w:sz w:val="24"/>
          <w:szCs w:val="24"/>
        </w:rPr>
        <w:t>It is evident that medical grounds account</w:t>
      </w:r>
      <w:r>
        <w:rPr>
          <w:sz w:val="24"/>
          <w:szCs w:val="24"/>
        </w:rPr>
        <w:t>ed</w:t>
      </w:r>
      <w:r w:rsidRPr="00096041">
        <w:rPr>
          <w:sz w:val="24"/>
          <w:szCs w:val="24"/>
        </w:rPr>
        <w:t xml:space="preserve"> for the majority of claims for each school</w:t>
      </w:r>
      <w:r>
        <w:rPr>
          <w:sz w:val="24"/>
          <w:szCs w:val="24"/>
        </w:rPr>
        <w:t xml:space="preserve">. </w:t>
      </w:r>
      <w:r w:rsidRPr="008D4EA1">
        <w:rPr>
          <w:sz w:val="24"/>
          <w:szCs w:val="24"/>
        </w:rPr>
        <w:t>Medical grounds accounted for over 50% of the reported cases for ACE, ADI, Cass, Psychology and RDBS. For HSB and LSS the proportion was almost 80%.</w:t>
      </w:r>
    </w:p>
    <w:p w:rsidR="00752A30" w:rsidRDefault="00752A30" w:rsidP="00203324">
      <w:pPr>
        <w:pStyle w:val="ListParagraph"/>
        <w:ind w:left="0"/>
        <w:jc w:val="center"/>
        <w:rPr>
          <w:sz w:val="24"/>
          <w:szCs w:val="24"/>
        </w:rPr>
      </w:pPr>
    </w:p>
    <w:p w:rsidR="00752A30" w:rsidRDefault="00752A30" w:rsidP="00203324">
      <w:pPr>
        <w:pStyle w:val="ListParagraph"/>
        <w:ind w:left="0"/>
        <w:jc w:val="center"/>
        <w:rPr>
          <w:sz w:val="24"/>
          <w:szCs w:val="24"/>
        </w:rPr>
      </w:pPr>
    </w:p>
    <w:p w:rsidR="00C923A6" w:rsidRPr="00096041" w:rsidRDefault="00585E88" w:rsidP="00203324">
      <w:pPr>
        <w:pStyle w:val="ListParagraph"/>
        <w:ind w:left="0"/>
        <w:jc w:val="center"/>
        <w:rPr>
          <w:color w:val="FF0000"/>
          <w:sz w:val="24"/>
          <w:szCs w:val="24"/>
        </w:rPr>
      </w:pPr>
      <w:r w:rsidRPr="00585E88">
        <w:rPr>
          <w:noProof/>
          <w:szCs w:val="24"/>
          <w:lang w:eastAsia="en-GB"/>
        </w:rPr>
        <w:lastRenderedPageBreak/>
        <w:drawing>
          <wp:inline distT="0" distB="0" distL="0" distR="0">
            <wp:extent cx="4909820" cy="1804035"/>
            <wp:effectExtent l="19050" t="0" r="5080"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4909820" cy="1804035"/>
                    </a:xfrm>
                    <a:prstGeom prst="rect">
                      <a:avLst/>
                    </a:prstGeom>
                    <a:noFill/>
                    <a:ln w="9525">
                      <a:noFill/>
                      <a:miter lim="800000"/>
                      <a:headEnd/>
                      <a:tailEnd/>
                    </a:ln>
                  </pic:spPr>
                </pic:pic>
              </a:graphicData>
            </a:graphic>
          </wp:inline>
        </w:drawing>
      </w:r>
    </w:p>
    <w:p w:rsidR="00285D15" w:rsidRPr="001D48E3" w:rsidRDefault="00285D15" w:rsidP="00285D15">
      <w:pPr>
        <w:pStyle w:val="ListParagraph"/>
        <w:ind w:left="0"/>
        <w:jc w:val="center"/>
        <w:rPr>
          <w:b/>
          <w:sz w:val="24"/>
          <w:szCs w:val="24"/>
        </w:rPr>
      </w:pPr>
      <w:r w:rsidRPr="001D48E3">
        <w:rPr>
          <w:b/>
          <w:sz w:val="24"/>
          <w:szCs w:val="24"/>
        </w:rPr>
        <w:t>Chart 2e – Student referral to Student Health and Wellbeing</w:t>
      </w:r>
    </w:p>
    <w:p w:rsidR="00096041" w:rsidRDefault="00096041" w:rsidP="00266691">
      <w:pPr>
        <w:pStyle w:val="ListParagraph"/>
        <w:ind w:left="0"/>
        <w:rPr>
          <w:sz w:val="24"/>
          <w:szCs w:val="24"/>
        </w:rPr>
      </w:pPr>
    </w:p>
    <w:p w:rsidR="00C923A6" w:rsidRDefault="00203324" w:rsidP="008D4EA1">
      <w:pPr>
        <w:pStyle w:val="ListParagraph"/>
        <w:ind w:left="0"/>
        <w:jc w:val="both"/>
        <w:rPr>
          <w:sz w:val="24"/>
          <w:szCs w:val="24"/>
        </w:rPr>
      </w:pPr>
      <w:r w:rsidRPr="00096041">
        <w:rPr>
          <w:sz w:val="24"/>
          <w:szCs w:val="24"/>
        </w:rPr>
        <w:t>Chart 2e illustrates the combined referral for semester</w:t>
      </w:r>
      <w:r w:rsidR="002C3B51" w:rsidRPr="00096041">
        <w:rPr>
          <w:sz w:val="24"/>
          <w:szCs w:val="24"/>
        </w:rPr>
        <w:t>s</w:t>
      </w:r>
      <w:r w:rsidRPr="00096041">
        <w:rPr>
          <w:sz w:val="24"/>
          <w:szCs w:val="24"/>
        </w:rPr>
        <w:t xml:space="preserve"> A</w:t>
      </w:r>
      <w:r w:rsidR="002C3B51" w:rsidRPr="00096041">
        <w:rPr>
          <w:sz w:val="24"/>
          <w:szCs w:val="24"/>
        </w:rPr>
        <w:t>,</w:t>
      </w:r>
      <w:r w:rsidRPr="00096041">
        <w:rPr>
          <w:sz w:val="24"/>
          <w:szCs w:val="24"/>
        </w:rPr>
        <w:t xml:space="preserve"> B</w:t>
      </w:r>
      <w:r w:rsidR="002C3B51" w:rsidRPr="00096041">
        <w:rPr>
          <w:sz w:val="24"/>
          <w:szCs w:val="24"/>
        </w:rPr>
        <w:t>, R</w:t>
      </w:r>
      <w:r w:rsidRPr="00096041">
        <w:rPr>
          <w:sz w:val="24"/>
          <w:szCs w:val="24"/>
        </w:rPr>
        <w:t xml:space="preserve"> to student health and well-being.</w:t>
      </w:r>
      <w:r w:rsidR="00D926CD" w:rsidRPr="00096041">
        <w:rPr>
          <w:sz w:val="24"/>
          <w:szCs w:val="24"/>
        </w:rPr>
        <w:t xml:space="preserve"> Student health and well-being has distinct areas for referral. These include</w:t>
      </w:r>
      <w:r w:rsidR="00E23825">
        <w:rPr>
          <w:sz w:val="24"/>
          <w:szCs w:val="24"/>
        </w:rPr>
        <w:t>,</w:t>
      </w:r>
      <w:r w:rsidR="00B71F1C">
        <w:rPr>
          <w:sz w:val="24"/>
          <w:szCs w:val="24"/>
        </w:rPr>
        <w:t xml:space="preserve"> but are not limited to</w:t>
      </w:r>
      <w:r w:rsidR="00E23825">
        <w:rPr>
          <w:sz w:val="24"/>
          <w:szCs w:val="24"/>
        </w:rPr>
        <w:t>,</w:t>
      </w:r>
      <w:r w:rsidR="00D926CD" w:rsidRPr="00096041">
        <w:rPr>
          <w:sz w:val="24"/>
          <w:szCs w:val="24"/>
        </w:rPr>
        <w:t xml:space="preserve"> general student health and well-being</w:t>
      </w:r>
      <w:r w:rsidR="00B71F1C">
        <w:rPr>
          <w:sz w:val="24"/>
          <w:szCs w:val="24"/>
        </w:rPr>
        <w:t>, disability support</w:t>
      </w:r>
      <w:r w:rsidR="00D926CD" w:rsidRPr="00096041">
        <w:rPr>
          <w:sz w:val="24"/>
          <w:szCs w:val="24"/>
        </w:rPr>
        <w:t>, dyslexia support, and financial support (SMART).</w:t>
      </w:r>
      <w:r w:rsidRPr="00096041">
        <w:rPr>
          <w:sz w:val="24"/>
          <w:szCs w:val="24"/>
        </w:rPr>
        <w:t xml:space="preserve"> After each claim has been reviewed, the panel may recommend a referral to student health and wellbeing if an ongoing issue is identified that is likely to negatively impact a student’s performance during assessment. LSS </w:t>
      </w:r>
      <w:r w:rsidR="00585E88">
        <w:rPr>
          <w:sz w:val="24"/>
          <w:szCs w:val="24"/>
        </w:rPr>
        <w:t xml:space="preserve">(52) </w:t>
      </w:r>
      <w:r w:rsidRPr="00096041">
        <w:rPr>
          <w:sz w:val="24"/>
          <w:szCs w:val="24"/>
        </w:rPr>
        <w:t>and HSB</w:t>
      </w:r>
      <w:r w:rsidR="00585E88">
        <w:rPr>
          <w:sz w:val="24"/>
          <w:szCs w:val="24"/>
        </w:rPr>
        <w:t xml:space="preserve"> (38)</w:t>
      </w:r>
      <w:r w:rsidRPr="00096041">
        <w:rPr>
          <w:sz w:val="24"/>
          <w:szCs w:val="24"/>
        </w:rPr>
        <w:t xml:space="preserve"> received the largest proportion of referrals. This is in line with these two schools receiving the highest proportion of extenuation claims for the</w:t>
      </w:r>
      <w:r w:rsidR="00784858" w:rsidRPr="00096041">
        <w:rPr>
          <w:sz w:val="24"/>
          <w:szCs w:val="24"/>
        </w:rPr>
        <w:t xml:space="preserve"> three</w:t>
      </w:r>
      <w:r w:rsidRPr="00096041">
        <w:rPr>
          <w:sz w:val="24"/>
          <w:szCs w:val="24"/>
        </w:rPr>
        <w:t xml:space="preserve"> semesters.</w:t>
      </w:r>
      <w:r w:rsidR="00D926CD" w:rsidRPr="00096041">
        <w:rPr>
          <w:sz w:val="24"/>
          <w:szCs w:val="24"/>
        </w:rPr>
        <w:t xml:space="preserve"> Of the overall referrals to student health and wellbeing, only 18% of students made appointments to see a student life case worker.</w:t>
      </w:r>
      <w:r w:rsidR="0088636A">
        <w:rPr>
          <w:sz w:val="24"/>
          <w:szCs w:val="24"/>
        </w:rPr>
        <w:t xml:space="preserve"> This could be due to the fact that a majority of students are already known to staff in student life.</w:t>
      </w:r>
    </w:p>
    <w:p w:rsidR="002E06ED" w:rsidRDefault="002E06ED" w:rsidP="00266691">
      <w:pPr>
        <w:pStyle w:val="ListParagraph"/>
        <w:ind w:left="0"/>
        <w:rPr>
          <w:sz w:val="24"/>
          <w:szCs w:val="24"/>
        </w:rPr>
      </w:pPr>
    </w:p>
    <w:p w:rsidR="00C923A6" w:rsidRDefault="00C923A6" w:rsidP="00266691">
      <w:pPr>
        <w:pStyle w:val="ListParagraph"/>
        <w:ind w:left="0"/>
        <w:rPr>
          <w:color w:val="FF0000"/>
        </w:rPr>
      </w:pPr>
    </w:p>
    <w:p w:rsidR="005112D6" w:rsidRPr="0022704A" w:rsidRDefault="005112D6" w:rsidP="005112D6">
      <w:pPr>
        <w:pStyle w:val="ListParagraph"/>
        <w:numPr>
          <w:ilvl w:val="0"/>
          <w:numId w:val="1"/>
        </w:numPr>
        <w:ind w:left="0" w:firstLine="0"/>
        <w:rPr>
          <w:b/>
        </w:rPr>
      </w:pPr>
      <w:r w:rsidRPr="0022704A">
        <w:rPr>
          <w:b/>
        </w:rPr>
        <w:t>Feedback for Rejected Claims</w:t>
      </w:r>
    </w:p>
    <w:p w:rsidR="00FD6C98" w:rsidRPr="0022704A" w:rsidRDefault="0097570C" w:rsidP="008D4EA1">
      <w:pPr>
        <w:ind w:left="709" w:hanging="709"/>
        <w:jc w:val="both"/>
        <w:rPr>
          <w:sz w:val="24"/>
          <w:szCs w:val="24"/>
        </w:rPr>
      </w:pPr>
      <w:r w:rsidRPr="0022704A">
        <w:t>3.1</w:t>
      </w:r>
      <w:r w:rsidRPr="0022704A">
        <w:tab/>
      </w:r>
      <w:r w:rsidR="00FD6C98" w:rsidRPr="0022704A">
        <w:rPr>
          <w:sz w:val="24"/>
          <w:szCs w:val="24"/>
        </w:rPr>
        <w:t>In 2011-12 a new system was introduced to give students a generic feedback code for rejected claims.  Previously, students had not been given any official feedback on their claims, although</w:t>
      </w:r>
      <w:r w:rsidR="004D6FF7" w:rsidRPr="0022704A">
        <w:rPr>
          <w:sz w:val="24"/>
          <w:szCs w:val="24"/>
        </w:rPr>
        <w:t xml:space="preserve"> it was possible</w:t>
      </w:r>
      <w:r w:rsidR="00343578">
        <w:rPr>
          <w:sz w:val="24"/>
          <w:szCs w:val="24"/>
        </w:rPr>
        <w:t>,</w:t>
      </w:r>
      <w:r w:rsidR="004D6FF7" w:rsidRPr="0022704A">
        <w:rPr>
          <w:sz w:val="24"/>
          <w:szCs w:val="24"/>
        </w:rPr>
        <w:t xml:space="preserve"> </w:t>
      </w:r>
      <w:r w:rsidR="00F5754C" w:rsidRPr="0022704A">
        <w:rPr>
          <w:sz w:val="24"/>
          <w:szCs w:val="24"/>
        </w:rPr>
        <w:t>for student</w:t>
      </w:r>
      <w:r w:rsidR="001E7226" w:rsidRPr="0022704A">
        <w:rPr>
          <w:sz w:val="24"/>
          <w:szCs w:val="24"/>
        </w:rPr>
        <w:t>s</w:t>
      </w:r>
      <w:r w:rsidR="00F5754C" w:rsidRPr="0022704A">
        <w:rPr>
          <w:sz w:val="24"/>
          <w:szCs w:val="24"/>
        </w:rPr>
        <w:t xml:space="preserve"> </w:t>
      </w:r>
      <w:r w:rsidR="004D6FF7" w:rsidRPr="0022704A">
        <w:rPr>
          <w:sz w:val="24"/>
          <w:szCs w:val="24"/>
        </w:rPr>
        <w:t>to seek</w:t>
      </w:r>
      <w:r w:rsidR="00FD6C98" w:rsidRPr="0022704A">
        <w:rPr>
          <w:sz w:val="24"/>
          <w:szCs w:val="24"/>
        </w:rPr>
        <w:t xml:space="preserve"> feedback </w:t>
      </w:r>
      <w:r w:rsidR="004D6FF7" w:rsidRPr="0022704A">
        <w:rPr>
          <w:sz w:val="24"/>
          <w:szCs w:val="24"/>
        </w:rPr>
        <w:t xml:space="preserve">from </w:t>
      </w:r>
      <w:r w:rsidR="00FD6C98" w:rsidRPr="0022704A">
        <w:rPr>
          <w:sz w:val="24"/>
          <w:szCs w:val="24"/>
        </w:rPr>
        <w:t>the Students Union Advice and Information Service</w:t>
      </w:r>
      <w:r w:rsidR="00F5754C" w:rsidRPr="0022704A">
        <w:rPr>
          <w:sz w:val="24"/>
          <w:szCs w:val="24"/>
        </w:rPr>
        <w:t xml:space="preserve"> on an individual basis</w:t>
      </w:r>
      <w:r w:rsidR="00FD6C98" w:rsidRPr="0022704A">
        <w:rPr>
          <w:sz w:val="24"/>
          <w:szCs w:val="24"/>
        </w:rPr>
        <w:t>.</w:t>
      </w:r>
    </w:p>
    <w:p w:rsidR="00285D15" w:rsidRDefault="00285D15" w:rsidP="008D4EA1">
      <w:pPr>
        <w:ind w:left="709"/>
        <w:jc w:val="both"/>
        <w:rPr>
          <w:sz w:val="24"/>
          <w:szCs w:val="24"/>
        </w:rPr>
      </w:pPr>
    </w:p>
    <w:p w:rsidR="00285D15" w:rsidRDefault="00285D15" w:rsidP="008D4EA1">
      <w:pPr>
        <w:ind w:left="709"/>
        <w:jc w:val="both"/>
        <w:rPr>
          <w:sz w:val="24"/>
          <w:szCs w:val="24"/>
        </w:rPr>
      </w:pPr>
    </w:p>
    <w:p w:rsidR="00285D15" w:rsidRDefault="00285D15" w:rsidP="008D4EA1">
      <w:pPr>
        <w:ind w:left="709"/>
        <w:jc w:val="both"/>
        <w:rPr>
          <w:sz w:val="24"/>
          <w:szCs w:val="24"/>
        </w:rPr>
      </w:pPr>
    </w:p>
    <w:p w:rsidR="00285D15" w:rsidRDefault="00285D15" w:rsidP="008D4EA1">
      <w:pPr>
        <w:ind w:left="709"/>
        <w:jc w:val="both"/>
        <w:rPr>
          <w:sz w:val="24"/>
          <w:szCs w:val="24"/>
        </w:rPr>
      </w:pPr>
    </w:p>
    <w:p w:rsidR="00285D15" w:rsidRDefault="00285D15" w:rsidP="008D4EA1">
      <w:pPr>
        <w:ind w:left="709"/>
        <w:jc w:val="both"/>
        <w:rPr>
          <w:sz w:val="24"/>
          <w:szCs w:val="24"/>
        </w:rPr>
      </w:pPr>
    </w:p>
    <w:p w:rsidR="00285D15" w:rsidRDefault="00285D15" w:rsidP="008D4EA1">
      <w:pPr>
        <w:ind w:left="709"/>
        <w:jc w:val="both"/>
        <w:rPr>
          <w:sz w:val="24"/>
          <w:szCs w:val="24"/>
        </w:rPr>
      </w:pPr>
    </w:p>
    <w:p w:rsidR="00285D15" w:rsidRDefault="00285D15" w:rsidP="008D4EA1">
      <w:pPr>
        <w:ind w:left="709"/>
        <w:jc w:val="both"/>
        <w:rPr>
          <w:sz w:val="24"/>
          <w:szCs w:val="24"/>
        </w:rPr>
      </w:pPr>
    </w:p>
    <w:p w:rsidR="008E48A4" w:rsidRPr="0022704A" w:rsidRDefault="008E48A4" w:rsidP="008D4EA1">
      <w:pPr>
        <w:ind w:left="709"/>
        <w:jc w:val="both"/>
        <w:rPr>
          <w:sz w:val="24"/>
          <w:szCs w:val="24"/>
        </w:rPr>
      </w:pPr>
      <w:r w:rsidRPr="0022704A">
        <w:rPr>
          <w:sz w:val="24"/>
          <w:szCs w:val="24"/>
        </w:rPr>
        <w:lastRenderedPageBreak/>
        <w:t xml:space="preserve">Of </w:t>
      </w:r>
      <w:r w:rsidR="001E7226" w:rsidRPr="0022704A">
        <w:rPr>
          <w:sz w:val="24"/>
          <w:szCs w:val="24"/>
        </w:rPr>
        <w:t xml:space="preserve">the </w:t>
      </w:r>
      <w:r w:rsidRPr="0022704A">
        <w:rPr>
          <w:sz w:val="24"/>
          <w:szCs w:val="24"/>
        </w:rPr>
        <w:t>claims which were rejected, the breakdown of feedback codes</w:t>
      </w:r>
      <w:r w:rsidR="0088636A">
        <w:rPr>
          <w:sz w:val="24"/>
          <w:szCs w:val="24"/>
        </w:rPr>
        <w:t xml:space="preserve"> for 2012-13</w:t>
      </w:r>
      <w:r w:rsidRPr="0022704A">
        <w:rPr>
          <w:sz w:val="24"/>
          <w:szCs w:val="24"/>
        </w:rPr>
        <w:t xml:space="preserve"> </w:t>
      </w:r>
      <w:r w:rsidR="0065413A">
        <w:rPr>
          <w:sz w:val="24"/>
          <w:szCs w:val="24"/>
        </w:rPr>
        <w:t>are</w:t>
      </w:r>
      <w:r w:rsidRPr="0022704A">
        <w:rPr>
          <w:sz w:val="24"/>
          <w:szCs w:val="24"/>
        </w:rPr>
        <w:t xml:space="preserve"> as follows:</w:t>
      </w:r>
    </w:p>
    <w:p w:rsidR="001E7226" w:rsidRPr="008D4EA1" w:rsidRDefault="001E7226" w:rsidP="001E7226">
      <w:pPr>
        <w:spacing w:after="0"/>
        <w:ind w:left="709"/>
        <w:rPr>
          <w:b/>
          <w:szCs w:val="20"/>
        </w:rPr>
      </w:pPr>
      <w:r w:rsidRPr="008D4EA1">
        <w:rPr>
          <w:b/>
          <w:szCs w:val="20"/>
        </w:rPr>
        <w:t>Table 3a – Reasons for rejection</w:t>
      </w:r>
    </w:p>
    <w:tbl>
      <w:tblPr>
        <w:tblW w:w="6589" w:type="dxa"/>
        <w:tblInd w:w="780" w:type="dxa"/>
        <w:tblLook w:val="04A0"/>
      </w:tblPr>
      <w:tblGrid>
        <w:gridCol w:w="2749"/>
        <w:gridCol w:w="960"/>
        <w:gridCol w:w="960"/>
        <w:gridCol w:w="960"/>
        <w:gridCol w:w="960"/>
      </w:tblGrid>
      <w:tr w:rsidR="008E48A4" w:rsidRPr="008E48A4" w:rsidTr="008E48A4">
        <w:trPr>
          <w:trHeight w:val="300"/>
        </w:trPr>
        <w:tc>
          <w:tcPr>
            <w:tcW w:w="2749" w:type="dxa"/>
            <w:tcBorders>
              <w:top w:val="single" w:sz="4" w:space="0" w:color="auto"/>
              <w:left w:val="single" w:sz="4" w:space="0" w:color="auto"/>
              <w:bottom w:val="single" w:sz="4" w:space="0" w:color="auto"/>
              <w:right w:val="single" w:sz="4" w:space="0" w:color="auto"/>
            </w:tcBorders>
            <w:shd w:val="clear" w:color="000000" w:fill="C5D9F1"/>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Feedback Code</w:t>
            </w:r>
          </w:p>
        </w:tc>
        <w:tc>
          <w:tcPr>
            <w:tcW w:w="960" w:type="dxa"/>
            <w:tcBorders>
              <w:top w:val="single" w:sz="4" w:space="0" w:color="auto"/>
              <w:left w:val="nil"/>
              <w:bottom w:val="single" w:sz="4" w:space="0" w:color="auto"/>
              <w:right w:val="nil"/>
            </w:tcBorders>
            <w:shd w:val="clear" w:color="000000" w:fill="C5D9F1"/>
            <w:noWrap/>
            <w:vAlign w:val="bottom"/>
            <w:hideMark/>
          </w:tcPr>
          <w:p w:rsidR="008E48A4" w:rsidRPr="008E48A4" w:rsidRDefault="008E48A4" w:rsidP="00C04C8B">
            <w:pPr>
              <w:spacing w:after="0" w:line="240" w:lineRule="auto"/>
              <w:jc w:val="center"/>
              <w:rPr>
                <w:rFonts w:ascii="Calibri" w:eastAsia="Times New Roman" w:hAnsi="Calibri" w:cs="Times New Roman"/>
                <w:color w:val="000000"/>
                <w:lang w:eastAsia="en-GB"/>
              </w:rPr>
            </w:pPr>
            <w:proofErr w:type="spellStart"/>
            <w:r w:rsidRPr="008E48A4">
              <w:rPr>
                <w:rFonts w:ascii="Calibri" w:eastAsia="Times New Roman" w:hAnsi="Calibri" w:cs="Times New Roman"/>
                <w:color w:val="000000"/>
                <w:lang w:eastAsia="en-GB"/>
              </w:rPr>
              <w:t>Sem</w:t>
            </w:r>
            <w:proofErr w:type="spellEnd"/>
            <w:r w:rsidRPr="008E48A4">
              <w:rPr>
                <w:rFonts w:ascii="Calibri" w:eastAsia="Times New Roman" w:hAnsi="Calibri" w:cs="Times New Roman"/>
                <w:color w:val="000000"/>
                <w:lang w:eastAsia="en-GB"/>
              </w:rPr>
              <w:t xml:space="preserve"> A</w:t>
            </w:r>
          </w:p>
        </w:tc>
        <w:tc>
          <w:tcPr>
            <w:tcW w:w="960" w:type="dxa"/>
            <w:tcBorders>
              <w:top w:val="single" w:sz="4" w:space="0" w:color="auto"/>
              <w:left w:val="nil"/>
              <w:bottom w:val="single" w:sz="4" w:space="0" w:color="auto"/>
              <w:right w:val="nil"/>
            </w:tcBorders>
            <w:shd w:val="clear" w:color="000000" w:fill="C5D9F1"/>
            <w:noWrap/>
            <w:vAlign w:val="bottom"/>
            <w:hideMark/>
          </w:tcPr>
          <w:p w:rsidR="008E48A4" w:rsidRPr="008E48A4" w:rsidRDefault="008E48A4" w:rsidP="00C04C8B">
            <w:pPr>
              <w:spacing w:after="0" w:line="240" w:lineRule="auto"/>
              <w:jc w:val="center"/>
              <w:rPr>
                <w:rFonts w:ascii="Calibri" w:eastAsia="Times New Roman" w:hAnsi="Calibri" w:cs="Times New Roman"/>
                <w:color w:val="000000"/>
                <w:lang w:eastAsia="en-GB"/>
              </w:rPr>
            </w:pPr>
            <w:proofErr w:type="spellStart"/>
            <w:r w:rsidRPr="008E48A4">
              <w:rPr>
                <w:rFonts w:ascii="Calibri" w:eastAsia="Times New Roman" w:hAnsi="Calibri" w:cs="Times New Roman"/>
                <w:color w:val="000000"/>
                <w:lang w:eastAsia="en-GB"/>
              </w:rPr>
              <w:t>Sem</w:t>
            </w:r>
            <w:proofErr w:type="spellEnd"/>
            <w:r w:rsidRPr="008E48A4">
              <w:rPr>
                <w:rFonts w:ascii="Calibri" w:eastAsia="Times New Roman" w:hAnsi="Calibri" w:cs="Times New Roman"/>
                <w:color w:val="000000"/>
                <w:lang w:eastAsia="en-GB"/>
              </w:rPr>
              <w:t xml:space="preserve"> B</w:t>
            </w:r>
          </w:p>
        </w:tc>
        <w:tc>
          <w:tcPr>
            <w:tcW w:w="960" w:type="dxa"/>
            <w:tcBorders>
              <w:top w:val="single" w:sz="4" w:space="0" w:color="auto"/>
              <w:left w:val="nil"/>
              <w:bottom w:val="single" w:sz="4" w:space="0" w:color="auto"/>
              <w:right w:val="nil"/>
            </w:tcBorders>
            <w:shd w:val="clear" w:color="000000" w:fill="C5D9F1"/>
            <w:noWrap/>
            <w:vAlign w:val="bottom"/>
            <w:hideMark/>
          </w:tcPr>
          <w:p w:rsidR="008E48A4" w:rsidRPr="008E48A4" w:rsidRDefault="008E48A4" w:rsidP="00C04C8B">
            <w:pPr>
              <w:spacing w:after="0" w:line="240" w:lineRule="auto"/>
              <w:jc w:val="center"/>
              <w:rPr>
                <w:rFonts w:ascii="Calibri" w:eastAsia="Times New Roman" w:hAnsi="Calibri" w:cs="Times New Roman"/>
                <w:color w:val="000000"/>
                <w:lang w:eastAsia="en-GB"/>
              </w:rPr>
            </w:pPr>
            <w:proofErr w:type="spellStart"/>
            <w:r w:rsidRPr="008E48A4">
              <w:rPr>
                <w:rFonts w:ascii="Calibri" w:eastAsia="Times New Roman" w:hAnsi="Calibri" w:cs="Times New Roman"/>
                <w:color w:val="000000"/>
                <w:lang w:eastAsia="en-GB"/>
              </w:rPr>
              <w:t>Sem</w:t>
            </w:r>
            <w:proofErr w:type="spellEnd"/>
            <w:r w:rsidRPr="008E48A4">
              <w:rPr>
                <w:rFonts w:ascii="Calibri" w:eastAsia="Times New Roman" w:hAnsi="Calibri" w:cs="Times New Roman"/>
                <w:color w:val="000000"/>
                <w:lang w:eastAsia="en-GB"/>
              </w:rPr>
              <w:t xml:space="preserve"> R</w:t>
            </w:r>
          </w:p>
        </w:tc>
        <w:tc>
          <w:tcPr>
            <w:tcW w:w="960" w:type="dxa"/>
            <w:tcBorders>
              <w:top w:val="single" w:sz="4" w:space="0" w:color="auto"/>
              <w:left w:val="nil"/>
              <w:bottom w:val="single" w:sz="4" w:space="0" w:color="auto"/>
              <w:right w:val="single" w:sz="4" w:space="0" w:color="auto"/>
            </w:tcBorders>
            <w:shd w:val="clear" w:color="000000" w:fill="C5D9F1"/>
            <w:noWrap/>
            <w:vAlign w:val="bottom"/>
            <w:hideMark/>
          </w:tcPr>
          <w:p w:rsidR="008E48A4" w:rsidRPr="008E48A4" w:rsidRDefault="008E48A4" w:rsidP="00C04C8B">
            <w:pPr>
              <w:spacing w:after="0" w:line="240" w:lineRule="auto"/>
              <w:jc w:val="center"/>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Total</w:t>
            </w:r>
          </w:p>
        </w:tc>
      </w:tr>
      <w:tr w:rsidR="008E48A4" w:rsidRPr="008E48A4" w:rsidTr="008E48A4">
        <w:trPr>
          <w:trHeight w:val="300"/>
        </w:trPr>
        <w:tc>
          <w:tcPr>
            <w:tcW w:w="2749" w:type="dxa"/>
            <w:tcBorders>
              <w:top w:val="single" w:sz="4" w:space="0" w:color="auto"/>
              <w:left w:val="single" w:sz="4" w:space="0" w:color="auto"/>
              <w:bottom w:val="nil"/>
              <w:right w:val="single" w:sz="4" w:space="0" w:color="auto"/>
            </w:tcBorders>
            <w:shd w:val="clear" w:color="auto" w:fill="auto"/>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R1 - module capped</w:t>
            </w:r>
          </w:p>
        </w:tc>
        <w:tc>
          <w:tcPr>
            <w:tcW w:w="960" w:type="dxa"/>
            <w:tcBorders>
              <w:top w:val="single" w:sz="4" w:space="0" w:color="auto"/>
              <w:left w:val="nil"/>
              <w:bottom w:val="nil"/>
              <w:right w:val="nil"/>
            </w:tcBorders>
            <w:shd w:val="clear" w:color="auto" w:fill="auto"/>
            <w:noWrap/>
            <w:vAlign w:val="bottom"/>
            <w:hideMark/>
          </w:tcPr>
          <w:p w:rsidR="008E48A4" w:rsidRPr="000771EA" w:rsidRDefault="000771EA" w:rsidP="00C04C8B">
            <w:pPr>
              <w:spacing w:after="0" w:line="240" w:lineRule="auto"/>
              <w:jc w:val="center"/>
              <w:rPr>
                <w:rFonts w:ascii="Calibri" w:eastAsia="Times New Roman" w:hAnsi="Calibri" w:cs="Times New Roman"/>
                <w:lang w:eastAsia="en-GB"/>
              </w:rPr>
            </w:pPr>
            <w:r w:rsidRPr="000771EA">
              <w:rPr>
                <w:rFonts w:ascii="Calibri" w:eastAsia="Times New Roman" w:hAnsi="Calibri" w:cs="Times New Roman"/>
                <w:lang w:eastAsia="en-GB"/>
              </w:rPr>
              <w:t>19</w:t>
            </w:r>
          </w:p>
        </w:tc>
        <w:tc>
          <w:tcPr>
            <w:tcW w:w="960" w:type="dxa"/>
            <w:tcBorders>
              <w:top w:val="single" w:sz="4" w:space="0" w:color="auto"/>
              <w:left w:val="nil"/>
              <w:bottom w:val="nil"/>
              <w:right w:val="nil"/>
            </w:tcBorders>
            <w:shd w:val="clear" w:color="auto" w:fill="auto"/>
            <w:noWrap/>
            <w:vAlign w:val="bottom"/>
            <w:hideMark/>
          </w:tcPr>
          <w:p w:rsidR="008E48A4" w:rsidRPr="000771EA" w:rsidRDefault="006A7122" w:rsidP="00C04C8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22</w:t>
            </w:r>
          </w:p>
        </w:tc>
        <w:tc>
          <w:tcPr>
            <w:tcW w:w="960" w:type="dxa"/>
            <w:tcBorders>
              <w:top w:val="single" w:sz="4" w:space="0" w:color="auto"/>
              <w:left w:val="nil"/>
              <w:bottom w:val="nil"/>
              <w:right w:val="nil"/>
            </w:tcBorders>
            <w:shd w:val="clear" w:color="auto" w:fill="auto"/>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50</w:t>
            </w:r>
          </w:p>
        </w:tc>
        <w:tc>
          <w:tcPr>
            <w:tcW w:w="960" w:type="dxa"/>
            <w:tcBorders>
              <w:top w:val="single" w:sz="4" w:space="0" w:color="auto"/>
              <w:left w:val="nil"/>
              <w:bottom w:val="nil"/>
              <w:right w:val="single" w:sz="4" w:space="0" w:color="auto"/>
            </w:tcBorders>
            <w:shd w:val="clear" w:color="auto" w:fill="auto"/>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91</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R2 - fourth attempt</w:t>
            </w:r>
          </w:p>
        </w:tc>
        <w:tc>
          <w:tcPr>
            <w:tcW w:w="960" w:type="dxa"/>
            <w:tcBorders>
              <w:top w:val="nil"/>
              <w:left w:val="nil"/>
              <w:bottom w:val="nil"/>
              <w:right w:val="nil"/>
            </w:tcBorders>
            <w:shd w:val="clear" w:color="auto" w:fill="C6D9F1" w:themeFill="text2" w:themeFillTint="33"/>
            <w:noWrap/>
            <w:vAlign w:val="bottom"/>
            <w:hideMark/>
          </w:tcPr>
          <w:p w:rsidR="008E48A4" w:rsidRPr="000771EA" w:rsidRDefault="008E48A4" w:rsidP="00C04C8B">
            <w:pPr>
              <w:spacing w:after="0" w:line="240" w:lineRule="auto"/>
              <w:jc w:val="center"/>
              <w:rPr>
                <w:rFonts w:ascii="Calibri" w:eastAsia="Times New Roman" w:hAnsi="Calibri" w:cs="Times New Roman"/>
                <w:lang w:eastAsia="en-GB"/>
              </w:rPr>
            </w:pPr>
            <w:r w:rsidRPr="000771EA">
              <w:rPr>
                <w:rFonts w:ascii="Calibri" w:eastAsia="Times New Roman" w:hAnsi="Calibri" w:cs="Times New Roman"/>
                <w:lang w:eastAsia="en-GB"/>
              </w:rPr>
              <w:t>0</w:t>
            </w:r>
          </w:p>
        </w:tc>
        <w:tc>
          <w:tcPr>
            <w:tcW w:w="960" w:type="dxa"/>
            <w:tcBorders>
              <w:top w:val="nil"/>
              <w:left w:val="nil"/>
              <w:bottom w:val="nil"/>
              <w:right w:val="nil"/>
            </w:tcBorders>
            <w:shd w:val="clear" w:color="auto" w:fill="C6D9F1" w:themeFill="text2" w:themeFillTint="33"/>
            <w:noWrap/>
            <w:vAlign w:val="bottom"/>
            <w:hideMark/>
          </w:tcPr>
          <w:p w:rsidR="008E48A4" w:rsidRPr="000771EA" w:rsidRDefault="006A7122" w:rsidP="00C04C8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0</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960" w:type="dxa"/>
            <w:tcBorders>
              <w:top w:val="nil"/>
              <w:left w:val="nil"/>
              <w:bottom w:val="nil"/>
              <w:right w:val="single" w:sz="4" w:space="0" w:color="auto"/>
            </w:tcBorders>
            <w:shd w:val="clear" w:color="auto" w:fill="C6D9F1" w:themeFill="text2" w:themeFillTint="33"/>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auto"/>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R3 - coursework on time</w:t>
            </w:r>
          </w:p>
        </w:tc>
        <w:tc>
          <w:tcPr>
            <w:tcW w:w="960" w:type="dxa"/>
            <w:tcBorders>
              <w:top w:val="nil"/>
              <w:left w:val="nil"/>
              <w:bottom w:val="nil"/>
              <w:right w:val="nil"/>
            </w:tcBorders>
            <w:shd w:val="clear" w:color="auto" w:fill="auto"/>
            <w:noWrap/>
            <w:vAlign w:val="bottom"/>
            <w:hideMark/>
          </w:tcPr>
          <w:p w:rsidR="008E48A4" w:rsidRPr="000771EA" w:rsidRDefault="000771EA" w:rsidP="00C04C8B">
            <w:pPr>
              <w:spacing w:after="0" w:line="240" w:lineRule="auto"/>
              <w:jc w:val="center"/>
              <w:rPr>
                <w:rFonts w:ascii="Calibri" w:eastAsia="Times New Roman" w:hAnsi="Calibri" w:cs="Times New Roman"/>
                <w:lang w:eastAsia="en-GB"/>
              </w:rPr>
            </w:pPr>
            <w:r w:rsidRPr="000771EA">
              <w:rPr>
                <w:rFonts w:ascii="Calibri" w:eastAsia="Times New Roman" w:hAnsi="Calibri" w:cs="Times New Roman"/>
                <w:lang w:eastAsia="en-GB"/>
              </w:rPr>
              <w:t>15</w:t>
            </w:r>
          </w:p>
        </w:tc>
        <w:tc>
          <w:tcPr>
            <w:tcW w:w="960" w:type="dxa"/>
            <w:tcBorders>
              <w:top w:val="nil"/>
              <w:left w:val="nil"/>
              <w:bottom w:val="nil"/>
              <w:right w:val="nil"/>
            </w:tcBorders>
            <w:shd w:val="clear" w:color="auto" w:fill="auto"/>
            <w:noWrap/>
            <w:vAlign w:val="bottom"/>
            <w:hideMark/>
          </w:tcPr>
          <w:p w:rsidR="008E48A4" w:rsidRPr="000771EA" w:rsidRDefault="006A7122" w:rsidP="00C04C8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10</w:t>
            </w:r>
          </w:p>
        </w:tc>
        <w:tc>
          <w:tcPr>
            <w:tcW w:w="960" w:type="dxa"/>
            <w:tcBorders>
              <w:top w:val="nil"/>
              <w:left w:val="nil"/>
              <w:bottom w:val="nil"/>
              <w:right w:val="nil"/>
            </w:tcBorders>
            <w:shd w:val="clear" w:color="auto" w:fill="auto"/>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960" w:type="dxa"/>
            <w:tcBorders>
              <w:top w:val="nil"/>
              <w:left w:val="nil"/>
              <w:bottom w:val="nil"/>
              <w:right w:val="single" w:sz="4" w:space="0" w:color="auto"/>
            </w:tcBorders>
            <w:shd w:val="clear" w:color="auto" w:fill="auto"/>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28</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R4 - failed another component</w:t>
            </w:r>
          </w:p>
        </w:tc>
        <w:tc>
          <w:tcPr>
            <w:tcW w:w="960" w:type="dxa"/>
            <w:tcBorders>
              <w:top w:val="nil"/>
              <w:left w:val="nil"/>
              <w:bottom w:val="nil"/>
              <w:right w:val="nil"/>
            </w:tcBorders>
            <w:shd w:val="clear" w:color="auto" w:fill="C6D9F1" w:themeFill="text2" w:themeFillTint="33"/>
            <w:noWrap/>
            <w:vAlign w:val="bottom"/>
            <w:hideMark/>
          </w:tcPr>
          <w:p w:rsidR="008E48A4" w:rsidRPr="000771EA" w:rsidRDefault="000771EA" w:rsidP="00C04C8B">
            <w:pPr>
              <w:spacing w:after="0" w:line="240" w:lineRule="auto"/>
              <w:jc w:val="center"/>
              <w:rPr>
                <w:rFonts w:ascii="Calibri" w:eastAsia="Times New Roman" w:hAnsi="Calibri" w:cs="Times New Roman"/>
                <w:lang w:eastAsia="en-GB"/>
              </w:rPr>
            </w:pPr>
            <w:r w:rsidRPr="000771EA">
              <w:rPr>
                <w:rFonts w:ascii="Calibri" w:eastAsia="Times New Roman" w:hAnsi="Calibri" w:cs="Times New Roman"/>
                <w:lang w:eastAsia="en-GB"/>
              </w:rPr>
              <w:t>13</w:t>
            </w:r>
          </w:p>
        </w:tc>
        <w:tc>
          <w:tcPr>
            <w:tcW w:w="960" w:type="dxa"/>
            <w:tcBorders>
              <w:top w:val="nil"/>
              <w:left w:val="nil"/>
              <w:bottom w:val="nil"/>
              <w:right w:val="nil"/>
            </w:tcBorders>
            <w:shd w:val="clear" w:color="auto" w:fill="C6D9F1" w:themeFill="text2" w:themeFillTint="33"/>
            <w:noWrap/>
            <w:vAlign w:val="bottom"/>
            <w:hideMark/>
          </w:tcPr>
          <w:p w:rsidR="008E48A4" w:rsidRPr="000771EA" w:rsidRDefault="006A7122" w:rsidP="00C04C8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14</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960" w:type="dxa"/>
            <w:tcBorders>
              <w:top w:val="nil"/>
              <w:left w:val="nil"/>
              <w:bottom w:val="nil"/>
              <w:right w:val="single" w:sz="4" w:space="0" w:color="auto"/>
            </w:tcBorders>
            <w:shd w:val="clear" w:color="auto" w:fill="C6D9F1" w:themeFill="text2" w:themeFillTint="33"/>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27</w:t>
            </w:r>
          </w:p>
        </w:tc>
      </w:tr>
      <w:tr w:rsidR="006A7122" w:rsidRPr="008E48A4" w:rsidTr="008E48A4">
        <w:trPr>
          <w:trHeight w:val="300"/>
        </w:trPr>
        <w:tc>
          <w:tcPr>
            <w:tcW w:w="2749" w:type="dxa"/>
            <w:tcBorders>
              <w:top w:val="nil"/>
              <w:left w:val="single" w:sz="4" w:space="0" w:color="auto"/>
              <w:bottom w:val="nil"/>
              <w:right w:val="single" w:sz="4" w:space="0" w:color="auto"/>
            </w:tcBorders>
            <w:shd w:val="clear" w:color="auto" w:fill="C6D9F1" w:themeFill="text2" w:themeFillTint="33"/>
            <w:noWrap/>
            <w:vAlign w:val="bottom"/>
            <w:hideMark/>
          </w:tcPr>
          <w:p w:rsidR="006A7122" w:rsidRPr="008E48A4" w:rsidRDefault="006A7122" w:rsidP="008E48A4">
            <w:pPr>
              <w:spacing w:after="0" w:line="240" w:lineRule="auto"/>
              <w:rPr>
                <w:rFonts w:ascii="Calibri" w:eastAsia="Times New Roman" w:hAnsi="Calibri" w:cs="Times New Roman"/>
                <w:color w:val="000000"/>
                <w:lang w:eastAsia="en-GB"/>
              </w:rPr>
            </w:pPr>
            <w:r>
              <w:rPr>
                <w:rFonts w:ascii="Calibri" w:eastAsia="Times New Roman" w:hAnsi="Calibri" w:cs="Times New Roman"/>
                <w:color w:val="000000"/>
                <w:lang w:eastAsia="en-GB"/>
              </w:rPr>
              <w:t>R5 – incorrect completion of form</w:t>
            </w:r>
          </w:p>
        </w:tc>
        <w:tc>
          <w:tcPr>
            <w:tcW w:w="960" w:type="dxa"/>
            <w:tcBorders>
              <w:top w:val="nil"/>
              <w:left w:val="nil"/>
              <w:bottom w:val="nil"/>
              <w:right w:val="nil"/>
            </w:tcBorders>
            <w:shd w:val="clear" w:color="auto" w:fill="C6D9F1" w:themeFill="text2" w:themeFillTint="33"/>
            <w:noWrap/>
            <w:vAlign w:val="bottom"/>
            <w:hideMark/>
          </w:tcPr>
          <w:p w:rsidR="006A7122" w:rsidRPr="000771EA" w:rsidRDefault="006A7122" w:rsidP="00C04C8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0</w:t>
            </w:r>
          </w:p>
        </w:tc>
        <w:tc>
          <w:tcPr>
            <w:tcW w:w="960" w:type="dxa"/>
            <w:tcBorders>
              <w:top w:val="nil"/>
              <w:left w:val="nil"/>
              <w:bottom w:val="nil"/>
              <w:right w:val="nil"/>
            </w:tcBorders>
            <w:shd w:val="clear" w:color="auto" w:fill="C6D9F1" w:themeFill="text2" w:themeFillTint="33"/>
            <w:noWrap/>
            <w:vAlign w:val="bottom"/>
            <w:hideMark/>
          </w:tcPr>
          <w:p w:rsidR="006A7122" w:rsidRDefault="006A7122" w:rsidP="00C04C8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w:t>
            </w:r>
          </w:p>
        </w:tc>
        <w:tc>
          <w:tcPr>
            <w:tcW w:w="960" w:type="dxa"/>
            <w:tcBorders>
              <w:top w:val="nil"/>
              <w:left w:val="nil"/>
              <w:bottom w:val="nil"/>
              <w:right w:val="nil"/>
            </w:tcBorders>
            <w:shd w:val="clear" w:color="auto" w:fill="C6D9F1" w:themeFill="text2" w:themeFillTint="33"/>
            <w:noWrap/>
            <w:vAlign w:val="bottom"/>
            <w:hideMark/>
          </w:tcPr>
          <w:p w:rsidR="006A7122"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w:t>
            </w:r>
          </w:p>
        </w:tc>
        <w:tc>
          <w:tcPr>
            <w:tcW w:w="960" w:type="dxa"/>
            <w:tcBorders>
              <w:top w:val="nil"/>
              <w:left w:val="nil"/>
              <w:bottom w:val="nil"/>
              <w:right w:val="single" w:sz="4" w:space="0" w:color="auto"/>
            </w:tcBorders>
            <w:shd w:val="clear" w:color="auto" w:fill="C6D9F1" w:themeFill="text2" w:themeFillTint="33"/>
            <w:noWrap/>
            <w:vAlign w:val="bottom"/>
            <w:hideMark/>
          </w:tcPr>
          <w:p w:rsidR="006A7122"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auto"/>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RC - did not meet criteria</w:t>
            </w:r>
          </w:p>
        </w:tc>
        <w:tc>
          <w:tcPr>
            <w:tcW w:w="960" w:type="dxa"/>
            <w:tcBorders>
              <w:top w:val="nil"/>
              <w:left w:val="nil"/>
              <w:bottom w:val="nil"/>
              <w:right w:val="nil"/>
            </w:tcBorders>
            <w:shd w:val="clear" w:color="auto" w:fill="auto"/>
            <w:noWrap/>
            <w:vAlign w:val="bottom"/>
            <w:hideMark/>
          </w:tcPr>
          <w:p w:rsidR="008E48A4" w:rsidRPr="000771EA" w:rsidRDefault="000771EA" w:rsidP="00C04C8B">
            <w:pPr>
              <w:spacing w:after="0" w:line="240" w:lineRule="auto"/>
              <w:jc w:val="center"/>
              <w:rPr>
                <w:rFonts w:ascii="Calibri" w:eastAsia="Times New Roman" w:hAnsi="Calibri" w:cs="Times New Roman"/>
                <w:lang w:eastAsia="en-GB"/>
              </w:rPr>
            </w:pPr>
            <w:r w:rsidRPr="000771EA">
              <w:rPr>
                <w:rFonts w:ascii="Calibri" w:eastAsia="Times New Roman" w:hAnsi="Calibri" w:cs="Times New Roman"/>
                <w:lang w:eastAsia="en-GB"/>
              </w:rPr>
              <w:t>39</w:t>
            </w:r>
          </w:p>
        </w:tc>
        <w:tc>
          <w:tcPr>
            <w:tcW w:w="960" w:type="dxa"/>
            <w:tcBorders>
              <w:top w:val="nil"/>
              <w:left w:val="nil"/>
              <w:bottom w:val="nil"/>
              <w:right w:val="nil"/>
            </w:tcBorders>
            <w:shd w:val="clear" w:color="auto" w:fill="auto"/>
            <w:noWrap/>
            <w:vAlign w:val="bottom"/>
            <w:hideMark/>
          </w:tcPr>
          <w:p w:rsidR="008E48A4" w:rsidRPr="000771EA" w:rsidRDefault="006A7122" w:rsidP="00C04C8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47</w:t>
            </w:r>
          </w:p>
        </w:tc>
        <w:tc>
          <w:tcPr>
            <w:tcW w:w="960" w:type="dxa"/>
            <w:tcBorders>
              <w:top w:val="nil"/>
              <w:left w:val="nil"/>
              <w:bottom w:val="nil"/>
              <w:right w:val="nil"/>
            </w:tcBorders>
            <w:shd w:val="clear" w:color="auto" w:fill="auto"/>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17</w:t>
            </w:r>
          </w:p>
        </w:tc>
        <w:tc>
          <w:tcPr>
            <w:tcW w:w="960" w:type="dxa"/>
            <w:tcBorders>
              <w:top w:val="nil"/>
              <w:left w:val="nil"/>
              <w:bottom w:val="nil"/>
              <w:right w:val="single" w:sz="4" w:space="0" w:color="auto"/>
            </w:tcBorders>
            <w:shd w:val="clear" w:color="auto" w:fill="auto"/>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103</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RE - evidence insufficient</w:t>
            </w:r>
          </w:p>
        </w:tc>
        <w:tc>
          <w:tcPr>
            <w:tcW w:w="960" w:type="dxa"/>
            <w:tcBorders>
              <w:top w:val="nil"/>
              <w:left w:val="nil"/>
              <w:bottom w:val="nil"/>
              <w:right w:val="nil"/>
            </w:tcBorders>
            <w:shd w:val="clear" w:color="auto" w:fill="C6D9F1" w:themeFill="text2" w:themeFillTint="33"/>
            <w:noWrap/>
            <w:vAlign w:val="bottom"/>
            <w:hideMark/>
          </w:tcPr>
          <w:p w:rsidR="008E48A4" w:rsidRPr="000771EA" w:rsidRDefault="008E48A4" w:rsidP="00C04C8B">
            <w:pPr>
              <w:spacing w:after="0" w:line="240" w:lineRule="auto"/>
              <w:jc w:val="center"/>
              <w:rPr>
                <w:rFonts w:ascii="Calibri" w:eastAsia="Times New Roman" w:hAnsi="Calibri" w:cs="Times New Roman"/>
                <w:lang w:eastAsia="en-GB"/>
              </w:rPr>
            </w:pPr>
            <w:r w:rsidRPr="000771EA">
              <w:rPr>
                <w:rFonts w:ascii="Calibri" w:eastAsia="Times New Roman" w:hAnsi="Calibri" w:cs="Times New Roman"/>
                <w:lang w:eastAsia="en-GB"/>
              </w:rPr>
              <w:t>1</w:t>
            </w:r>
            <w:r w:rsidR="000771EA" w:rsidRPr="000771EA">
              <w:rPr>
                <w:rFonts w:ascii="Calibri" w:eastAsia="Times New Roman" w:hAnsi="Calibri" w:cs="Times New Roman"/>
                <w:lang w:eastAsia="en-GB"/>
              </w:rPr>
              <w:t>44</w:t>
            </w:r>
          </w:p>
        </w:tc>
        <w:tc>
          <w:tcPr>
            <w:tcW w:w="960" w:type="dxa"/>
            <w:tcBorders>
              <w:top w:val="nil"/>
              <w:left w:val="nil"/>
              <w:bottom w:val="nil"/>
              <w:right w:val="nil"/>
            </w:tcBorders>
            <w:shd w:val="clear" w:color="auto" w:fill="C6D9F1" w:themeFill="text2" w:themeFillTint="33"/>
            <w:noWrap/>
            <w:vAlign w:val="bottom"/>
            <w:hideMark/>
          </w:tcPr>
          <w:p w:rsidR="008E48A4" w:rsidRPr="000771EA" w:rsidRDefault="006A7122" w:rsidP="00C04C8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226</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36</w:t>
            </w:r>
          </w:p>
        </w:tc>
        <w:tc>
          <w:tcPr>
            <w:tcW w:w="960" w:type="dxa"/>
            <w:tcBorders>
              <w:top w:val="nil"/>
              <w:left w:val="nil"/>
              <w:bottom w:val="nil"/>
              <w:right w:val="single" w:sz="4" w:space="0" w:color="auto"/>
            </w:tcBorders>
            <w:shd w:val="clear" w:color="auto" w:fill="C6D9F1" w:themeFill="text2" w:themeFillTint="33"/>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406</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auto"/>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RL - late without good reason</w:t>
            </w:r>
          </w:p>
        </w:tc>
        <w:tc>
          <w:tcPr>
            <w:tcW w:w="960" w:type="dxa"/>
            <w:tcBorders>
              <w:top w:val="nil"/>
              <w:left w:val="nil"/>
              <w:bottom w:val="nil"/>
              <w:right w:val="nil"/>
            </w:tcBorders>
            <w:shd w:val="clear" w:color="auto" w:fill="auto"/>
            <w:noWrap/>
            <w:vAlign w:val="bottom"/>
            <w:hideMark/>
          </w:tcPr>
          <w:p w:rsidR="008E48A4" w:rsidRPr="000771EA" w:rsidRDefault="000771EA" w:rsidP="00C04C8B">
            <w:pPr>
              <w:spacing w:after="0" w:line="240" w:lineRule="auto"/>
              <w:jc w:val="center"/>
              <w:rPr>
                <w:rFonts w:ascii="Calibri" w:eastAsia="Times New Roman" w:hAnsi="Calibri" w:cs="Times New Roman"/>
                <w:lang w:eastAsia="en-GB"/>
              </w:rPr>
            </w:pPr>
            <w:r w:rsidRPr="000771EA">
              <w:rPr>
                <w:rFonts w:ascii="Calibri" w:eastAsia="Times New Roman" w:hAnsi="Calibri" w:cs="Times New Roman"/>
                <w:lang w:eastAsia="en-GB"/>
              </w:rPr>
              <w:t>1</w:t>
            </w:r>
          </w:p>
        </w:tc>
        <w:tc>
          <w:tcPr>
            <w:tcW w:w="960" w:type="dxa"/>
            <w:tcBorders>
              <w:top w:val="nil"/>
              <w:left w:val="nil"/>
              <w:bottom w:val="nil"/>
              <w:right w:val="nil"/>
            </w:tcBorders>
            <w:shd w:val="clear" w:color="auto" w:fill="auto"/>
            <w:noWrap/>
            <w:vAlign w:val="bottom"/>
            <w:hideMark/>
          </w:tcPr>
          <w:p w:rsidR="008E48A4" w:rsidRPr="000771EA" w:rsidRDefault="006A7122" w:rsidP="00C04C8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3</w:t>
            </w:r>
          </w:p>
        </w:tc>
        <w:tc>
          <w:tcPr>
            <w:tcW w:w="960" w:type="dxa"/>
            <w:tcBorders>
              <w:top w:val="nil"/>
              <w:left w:val="nil"/>
              <w:bottom w:val="nil"/>
              <w:right w:val="nil"/>
            </w:tcBorders>
            <w:shd w:val="clear" w:color="auto" w:fill="auto"/>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960" w:type="dxa"/>
            <w:tcBorders>
              <w:top w:val="nil"/>
              <w:left w:val="nil"/>
              <w:bottom w:val="nil"/>
              <w:right w:val="single" w:sz="4" w:space="0" w:color="auto"/>
            </w:tcBorders>
            <w:shd w:val="clear" w:color="auto" w:fill="auto"/>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4</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RM - multiple</w:t>
            </w:r>
          </w:p>
        </w:tc>
        <w:tc>
          <w:tcPr>
            <w:tcW w:w="960" w:type="dxa"/>
            <w:tcBorders>
              <w:top w:val="nil"/>
              <w:left w:val="nil"/>
              <w:bottom w:val="nil"/>
              <w:right w:val="nil"/>
            </w:tcBorders>
            <w:shd w:val="clear" w:color="auto" w:fill="C6D9F1" w:themeFill="text2" w:themeFillTint="33"/>
            <w:noWrap/>
            <w:vAlign w:val="bottom"/>
            <w:hideMark/>
          </w:tcPr>
          <w:p w:rsidR="008E48A4" w:rsidRPr="000771EA" w:rsidRDefault="000771EA" w:rsidP="00C04C8B">
            <w:pPr>
              <w:spacing w:after="0" w:line="240" w:lineRule="auto"/>
              <w:jc w:val="center"/>
              <w:rPr>
                <w:rFonts w:ascii="Calibri" w:eastAsia="Times New Roman" w:hAnsi="Calibri" w:cs="Times New Roman"/>
                <w:lang w:eastAsia="en-GB"/>
              </w:rPr>
            </w:pPr>
            <w:r w:rsidRPr="000771EA">
              <w:rPr>
                <w:rFonts w:ascii="Calibri" w:eastAsia="Times New Roman" w:hAnsi="Calibri" w:cs="Times New Roman"/>
                <w:lang w:eastAsia="en-GB"/>
              </w:rPr>
              <w:t>30</w:t>
            </w:r>
          </w:p>
        </w:tc>
        <w:tc>
          <w:tcPr>
            <w:tcW w:w="960" w:type="dxa"/>
            <w:tcBorders>
              <w:top w:val="nil"/>
              <w:left w:val="nil"/>
              <w:bottom w:val="nil"/>
              <w:right w:val="nil"/>
            </w:tcBorders>
            <w:shd w:val="clear" w:color="auto" w:fill="C6D9F1" w:themeFill="text2" w:themeFillTint="33"/>
            <w:noWrap/>
            <w:vAlign w:val="bottom"/>
            <w:hideMark/>
          </w:tcPr>
          <w:p w:rsidR="008E48A4" w:rsidRPr="000771EA" w:rsidRDefault="006A7122" w:rsidP="00C04C8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42</w:t>
            </w:r>
          </w:p>
        </w:tc>
        <w:tc>
          <w:tcPr>
            <w:tcW w:w="960" w:type="dxa"/>
            <w:tcBorders>
              <w:top w:val="nil"/>
              <w:left w:val="nil"/>
              <w:bottom w:val="nil"/>
              <w:right w:val="nil"/>
            </w:tcBorders>
            <w:shd w:val="clear" w:color="auto" w:fill="C6D9F1" w:themeFill="text2" w:themeFillTint="33"/>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w:t>
            </w:r>
          </w:p>
        </w:tc>
        <w:tc>
          <w:tcPr>
            <w:tcW w:w="960" w:type="dxa"/>
            <w:tcBorders>
              <w:top w:val="nil"/>
              <w:left w:val="nil"/>
              <w:bottom w:val="nil"/>
              <w:right w:val="single" w:sz="4" w:space="0" w:color="auto"/>
            </w:tcBorders>
            <w:shd w:val="clear" w:color="auto" w:fill="C6D9F1" w:themeFill="text2" w:themeFillTint="33"/>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78</w:t>
            </w:r>
          </w:p>
        </w:tc>
      </w:tr>
      <w:tr w:rsidR="008E48A4" w:rsidRPr="008E48A4" w:rsidTr="008E48A4">
        <w:trPr>
          <w:trHeight w:val="300"/>
        </w:trPr>
        <w:tc>
          <w:tcPr>
            <w:tcW w:w="2749" w:type="dxa"/>
            <w:tcBorders>
              <w:top w:val="nil"/>
              <w:left w:val="single" w:sz="4" w:space="0" w:color="auto"/>
              <w:bottom w:val="nil"/>
              <w:right w:val="single" w:sz="4" w:space="0" w:color="auto"/>
            </w:tcBorders>
            <w:shd w:val="clear" w:color="auto" w:fill="auto"/>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RN - not extenuation</w:t>
            </w:r>
          </w:p>
        </w:tc>
        <w:tc>
          <w:tcPr>
            <w:tcW w:w="960" w:type="dxa"/>
            <w:tcBorders>
              <w:top w:val="nil"/>
              <w:left w:val="nil"/>
              <w:bottom w:val="nil"/>
              <w:right w:val="nil"/>
            </w:tcBorders>
            <w:shd w:val="clear" w:color="auto" w:fill="auto"/>
            <w:noWrap/>
            <w:vAlign w:val="bottom"/>
            <w:hideMark/>
          </w:tcPr>
          <w:p w:rsidR="008E48A4" w:rsidRPr="000771EA" w:rsidRDefault="000771EA" w:rsidP="00C04C8B">
            <w:pPr>
              <w:spacing w:after="0" w:line="240" w:lineRule="auto"/>
              <w:jc w:val="center"/>
              <w:rPr>
                <w:rFonts w:ascii="Calibri" w:eastAsia="Times New Roman" w:hAnsi="Calibri" w:cs="Times New Roman"/>
                <w:lang w:eastAsia="en-GB"/>
              </w:rPr>
            </w:pPr>
            <w:r w:rsidRPr="000771EA">
              <w:rPr>
                <w:rFonts w:ascii="Calibri" w:eastAsia="Times New Roman" w:hAnsi="Calibri" w:cs="Times New Roman"/>
                <w:lang w:eastAsia="en-GB"/>
              </w:rPr>
              <w:t>39</w:t>
            </w:r>
          </w:p>
        </w:tc>
        <w:tc>
          <w:tcPr>
            <w:tcW w:w="960" w:type="dxa"/>
            <w:tcBorders>
              <w:top w:val="nil"/>
              <w:left w:val="nil"/>
              <w:bottom w:val="nil"/>
              <w:right w:val="nil"/>
            </w:tcBorders>
            <w:shd w:val="clear" w:color="auto" w:fill="auto"/>
            <w:noWrap/>
            <w:vAlign w:val="bottom"/>
            <w:hideMark/>
          </w:tcPr>
          <w:p w:rsidR="008E48A4" w:rsidRPr="000771EA" w:rsidRDefault="006A7122" w:rsidP="00C04C8B">
            <w:pPr>
              <w:spacing w:after="0" w:line="240" w:lineRule="auto"/>
              <w:jc w:val="center"/>
              <w:rPr>
                <w:rFonts w:ascii="Calibri" w:eastAsia="Times New Roman" w:hAnsi="Calibri" w:cs="Times New Roman"/>
                <w:lang w:eastAsia="en-GB"/>
              </w:rPr>
            </w:pPr>
            <w:r>
              <w:rPr>
                <w:rFonts w:ascii="Calibri" w:eastAsia="Times New Roman" w:hAnsi="Calibri" w:cs="Times New Roman"/>
                <w:lang w:eastAsia="en-GB"/>
              </w:rPr>
              <w:t>12</w:t>
            </w:r>
          </w:p>
        </w:tc>
        <w:tc>
          <w:tcPr>
            <w:tcW w:w="960" w:type="dxa"/>
            <w:tcBorders>
              <w:top w:val="nil"/>
              <w:left w:val="nil"/>
              <w:bottom w:val="nil"/>
              <w:right w:val="nil"/>
            </w:tcBorders>
            <w:shd w:val="clear" w:color="auto" w:fill="auto"/>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11</w:t>
            </w:r>
          </w:p>
        </w:tc>
        <w:tc>
          <w:tcPr>
            <w:tcW w:w="960" w:type="dxa"/>
            <w:tcBorders>
              <w:top w:val="nil"/>
              <w:left w:val="nil"/>
              <w:bottom w:val="nil"/>
              <w:right w:val="single" w:sz="4" w:space="0" w:color="auto"/>
            </w:tcBorders>
            <w:shd w:val="clear" w:color="auto" w:fill="auto"/>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62</w:t>
            </w:r>
          </w:p>
        </w:tc>
      </w:tr>
      <w:tr w:rsidR="008E48A4" w:rsidRPr="008E48A4" w:rsidTr="008E48A4">
        <w:trPr>
          <w:trHeight w:val="300"/>
        </w:trPr>
        <w:tc>
          <w:tcPr>
            <w:tcW w:w="2749" w:type="dxa"/>
            <w:tcBorders>
              <w:top w:val="nil"/>
              <w:left w:val="single" w:sz="4" w:space="0" w:color="auto"/>
              <w:bottom w:val="single" w:sz="4" w:space="0" w:color="auto"/>
              <w:right w:val="single" w:sz="4" w:space="0" w:color="auto"/>
            </w:tcBorders>
            <w:shd w:val="clear" w:color="auto" w:fill="C6D9F1" w:themeFill="text2" w:themeFillTint="33"/>
            <w:noWrap/>
            <w:vAlign w:val="bottom"/>
            <w:hideMark/>
          </w:tcPr>
          <w:p w:rsidR="008E48A4" w:rsidRPr="008E48A4" w:rsidRDefault="008E48A4" w:rsidP="008E48A4">
            <w:pPr>
              <w:spacing w:after="0" w:line="240" w:lineRule="auto"/>
              <w:rPr>
                <w:rFonts w:ascii="Calibri" w:eastAsia="Times New Roman" w:hAnsi="Calibri" w:cs="Times New Roman"/>
                <w:color w:val="000000"/>
                <w:lang w:eastAsia="en-GB"/>
              </w:rPr>
            </w:pPr>
            <w:r w:rsidRPr="008E48A4">
              <w:rPr>
                <w:rFonts w:ascii="Calibri" w:eastAsia="Times New Roman" w:hAnsi="Calibri" w:cs="Times New Roman"/>
                <w:color w:val="000000"/>
                <w:lang w:eastAsia="en-GB"/>
              </w:rPr>
              <w:t>B - failed evidence check</w:t>
            </w:r>
          </w:p>
        </w:tc>
        <w:tc>
          <w:tcPr>
            <w:tcW w:w="960" w:type="dxa"/>
            <w:tcBorders>
              <w:top w:val="nil"/>
              <w:left w:val="nil"/>
              <w:bottom w:val="single" w:sz="4" w:space="0" w:color="auto"/>
              <w:right w:val="nil"/>
            </w:tcBorders>
            <w:shd w:val="clear" w:color="auto" w:fill="C6D9F1" w:themeFill="text2" w:themeFillTint="33"/>
            <w:noWrap/>
            <w:vAlign w:val="bottom"/>
            <w:hideMark/>
          </w:tcPr>
          <w:p w:rsidR="008E48A4" w:rsidRPr="000771EA" w:rsidRDefault="005641B5" w:rsidP="00C04C8B">
            <w:pPr>
              <w:spacing w:after="0" w:line="240" w:lineRule="auto"/>
              <w:jc w:val="center"/>
              <w:rPr>
                <w:rFonts w:ascii="Calibri" w:eastAsia="Times New Roman" w:hAnsi="Calibri" w:cs="Times New Roman"/>
                <w:lang w:eastAsia="en-GB"/>
              </w:rPr>
            </w:pPr>
            <w:r w:rsidRPr="000771EA">
              <w:rPr>
                <w:rFonts w:ascii="Calibri" w:eastAsia="Times New Roman" w:hAnsi="Calibri" w:cs="Times New Roman"/>
                <w:lang w:eastAsia="en-GB"/>
              </w:rPr>
              <w:t>0</w:t>
            </w:r>
          </w:p>
        </w:tc>
        <w:tc>
          <w:tcPr>
            <w:tcW w:w="960" w:type="dxa"/>
            <w:tcBorders>
              <w:top w:val="nil"/>
              <w:left w:val="nil"/>
              <w:bottom w:val="single" w:sz="4" w:space="0" w:color="auto"/>
              <w:right w:val="nil"/>
            </w:tcBorders>
            <w:shd w:val="clear" w:color="auto" w:fill="C6D9F1" w:themeFill="text2" w:themeFillTint="33"/>
            <w:noWrap/>
            <w:vAlign w:val="bottom"/>
            <w:hideMark/>
          </w:tcPr>
          <w:p w:rsidR="008E48A4" w:rsidRPr="000771EA" w:rsidRDefault="008E48A4" w:rsidP="00C04C8B">
            <w:pPr>
              <w:spacing w:after="0" w:line="240" w:lineRule="auto"/>
              <w:jc w:val="center"/>
              <w:rPr>
                <w:rFonts w:ascii="Calibri" w:eastAsia="Times New Roman" w:hAnsi="Calibri" w:cs="Times New Roman"/>
                <w:lang w:eastAsia="en-GB"/>
              </w:rPr>
            </w:pPr>
            <w:r w:rsidRPr="000771EA">
              <w:rPr>
                <w:rFonts w:ascii="Calibri" w:eastAsia="Times New Roman" w:hAnsi="Calibri" w:cs="Times New Roman"/>
                <w:lang w:eastAsia="en-GB"/>
              </w:rPr>
              <w:t>0</w:t>
            </w:r>
          </w:p>
        </w:tc>
        <w:tc>
          <w:tcPr>
            <w:tcW w:w="960" w:type="dxa"/>
            <w:tcBorders>
              <w:top w:val="nil"/>
              <w:left w:val="nil"/>
              <w:bottom w:val="single" w:sz="4" w:space="0" w:color="auto"/>
              <w:right w:val="nil"/>
            </w:tcBorders>
            <w:shd w:val="clear" w:color="auto" w:fill="C6D9F1" w:themeFill="text2" w:themeFillTint="33"/>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c>
          <w:tcPr>
            <w:tcW w:w="960" w:type="dxa"/>
            <w:tcBorders>
              <w:top w:val="nil"/>
              <w:left w:val="nil"/>
              <w:bottom w:val="single" w:sz="4" w:space="0" w:color="auto"/>
              <w:right w:val="single" w:sz="4" w:space="0" w:color="auto"/>
            </w:tcBorders>
            <w:shd w:val="clear" w:color="auto" w:fill="C6D9F1" w:themeFill="text2" w:themeFillTint="33"/>
            <w:noWrap/>
            <w:vAlign w:val="bottom"/>
            <w:hideMark/>
          </w:tcPr>
          <w:p w:rsidR="008E48A4" w:rsidRPr="008E48A4" w:rsidRDefault="00F6637D" w:rsidP="00C04C8B">
            <w:pPr>
              <w:spacing w:after="0" w:line="240" w:lineRule="auto"/>
              <w:jc w:val="center"/>
              <w:rPr>
                <w:rFonts w:ascii="Calibri" w:eastAsia="Times New Roman" w:hAnsi="Calibri" w:cs="Times New Roman"/>
                <w:color w:val="000000"/>
                <w:lang w:eastAsia="en-GB"/>
              </w:rPr>
            </w:pPr>
            <w:r>
              <w:rPr>
                <w:rFonts w:ascii="Calibri" w:eastAsia="Times New Roman" w:hAnsi="Calibri" w:cs="Times New Roman"/>
                <w:color w:val="000000"/>
                <w:lang w:eastAsia="en-GB"/>
              </w:rPr>
              <w:t>0</w:t>
            </w:r>
          </w:p>
        </w:tc>
      </w:tr>
    </w:tbl>
    <w:p w:rsidR="008E48A4" w:rsidRDefault="008E48A4" w:rsidP="00FD6C98">
      <w:pPr>
        <w:ind w:left="709"/>
      </w:pPr>
    </w:p>
    <w:p w:rsidR="009870BC" w:rsidRPr="00F6637D" w:rsidRDefault="009870BC" w:rsidP="008D4EA1">
      <w:pPr>
        <w:ind w:left="709"/>
        <w:jc w:val="both"/>
        <w:rPr>
          <w:sz w:val="24"/>
          <w:szCs w:val="24"/>
        </w:rPr>
      </w:pPr>
      <w:r w:rsidRPr="001465B3">
        <w:rPr>
          <w:sz w:val="24"/>
          <w:szCs w:val="24"/>
        </w:rPr>
        <w:t xml:space="preserve">The </w:t>
      </w:r>
      <w:r w:rsidR="00853DEB" w:rsidRPr="001465B3">
        <w:rPr>
          <w:sz w:val="24"/>
          <w:szCs w:val="24"/>
        </w:rPr>
        <w:t>largest category of rejected claims occurred where</w:t>
      </w:r>
      <w:r w:rsidRPr="001465B3">
        <w:rPr>
          <w:sz w:val="24"/>
          <w:szCs w:val="24"/>
        </w:rPr>
        <w:t xml:space="preserve"> students</w:t>
      </w:r>
      <w:r w:rsidR="00853DEB" w:rsidRPr="001465B3">
        <w:rPr>
          <w:sz w:val="24"/>
          <w:szCs w:val="24"/>
        </w:rPr>
        <w:t xml:space="preserve"> </w:t>
      </w:r>
      <w:r w:rsidRPr="001465B3">
        <w:rPr>
          <w:sz w:val="24"/>
          <w:szCs w:val="24"/>
        </w:rPr>
        <w:t>had failed to supply adequate evidence for their claim</w:t>
      </w:r>
      <w:r w:rsidR="00096041">
        <w:rPr>
          <w:sz w:val="24"/>
          <w:szCs w:val="24"/>
        </w:rPr>
        <w:t>/s</w:t>
      </w:r>
      <w:r w:rsidRPr="001465B3">
        <w:rPr>
          <w:sz w:val="24"/>
          <w:szCs w:val="24"/>
        </w:rPr>
        <w:t xml:space="preserve">.  </w:t>
      </w:r>
      <w:r w:rsidRPr="00F6637D">
        <w:rPr>
          <w:sz w:val="24"/>
          <w:szCs w:val="24"/>
        </w:rPr>
        <w:t xml:space="preserve">There was also a fairly substantial number of technical rejects </w:t>
      </w:r>
      <w:r w:rsidR="00853DEB" w:rsidRPr="00F6637D">
        <w:rPr>
          <w:sz w:val="24"/>
          <w:szCs w:val="24"/>
        </w:rPr>
        <w:t>(codes R1 – R</w:t>
      </w:r>
      <w:r w:rsidR="00F6637D" w:rsidRPr="00F6637D">
        <w:rPr>
          <w:sz w:val="24"/>
          <w:szCs w:val="24"/>
        </w:rPr>
        <w:t>5</w:t>
      </w:r>
      <w:r w:rsidR="00853DEB" w:rsidRPr="00F6637D">
        <w:rPr>
          <w:sz w:val="24"/>
          <w:szCs w:val="24"/>
        </w:rPr>
        <w:t xml:space="preserve">), most of which were submitted during the </w:t>
      </w:r>
      <w:proofErr w:type="spellStart"/>
      <w:r w:rsidR="00853DEB" w:rsidRPr="00F6637D">
        <w:rPr>
          <w:sz w:val="24"/>
          <w:szCs w:val="24"/>
        </w:rPr>
        <w:t>re</w:t>
      </w:r>
      <w:r w:rsidR="008D4EA1">
        <w:rPr>
          <w:sz w:val="24"/>
          <w:szCs w:val="24"/>
        </w:rPr>
        <w:t>sit</w:t>
      </w:r>
      <w:proofErr w:type="spellEnd"/>
      <w:r w:rsidR="00853DEB" w:rsidRPr="00F6637D">
        <w:rPr>
          <w:sz w:val="24"/>
          <w:szCs w:val="24"/>
        </w:rPr>
        <w:t xml:space="preserve"> period.</w:t>
      </w:r>
      <w:r w:rsidR="0065413A">
        <w:rPr>
          <w:sz w:val="24"/>
          <w:szCs w:val="24"/>
        </w:rPr>
        <w:t xml:space="preserve"> </w:t>
      </w:r>
    </w:p>
    <w:p w:rsidR="00FD6C98" w:rsidRPr="001465B3" w:rsidRDefault="00A47274" w:rsidP="008D4EA1">
      <w:pPr>
        <w:ind w:left="709"/>
        <w:jc w:val="both"/>
        <w:rPr>
          <w:sz w:val="24"/>
          <w:szCs w:val="24"/>
        </w:rPr>
      </w:pPr>
      <w:r w:rsidRPr="001465B3">
        <w:rPr>
          <w:sz w:val="24"/>
          <w:szCs w:val="24"/>
        </w:rPr>
        <w:t xml:space="preserve">A more detailed explanation of the feedback codes can be found on the extenuation website, </w:t>
      </w:r>
      <w:hyperlink r:id="rId13" w:history="1">
        <w:r w:rsidRPr="001465B3">
          <w:rPr>
            <w:rStyle w:val="Hyperlink"/>
            <w:sz w:val="24"/>
            <w:szCs w:val="24"/>
          </w:rPr>
          <w:t>http://www.uel.ac.uk/qa/extenuation.htm</w:t>
        </w:r>
      </w:hyperlink>
    </w:p>
    <w:p w:rsidR="007173D1" w:rsidRDefault="007173D1"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1D48E3" w:rsidRDefault="001D48E3" w:rsidP="007173D1">
      <w:pPr>
        <w:pStyle w:val="ListParagraph"/>
        <w:ind w:left="0"/>
        <w:rPr>
          <w:b/>
        </w:rPr>
      </w:pPr>
    </w:p>
    <w:p w:rsidR="007173D1" w:rsidRPr="00266691" w:rsidRDefault="007173D1" w:rsidP="005112D6">
      <w:pPr>
        <w:pStyle w:val="ListParagraph"/>
        <w:numPr>
          <w:ilvl w:val="0"/>
          <w:numId w:val="1"/>
        </w:numPr>
        <w:ind w:left="0" w:firstLine="0"/>
        <w:rPr>
          <w:b/>
        </w:rPr>
      </w:pPr>
      <w:r>
        <w:rPr>
          <w:b/>
        </w:rPr>
        <w:lastRenderedPageBreak/>
        <w:t>Mode of Study</w:t>
      </w:r>
    </w:p>
    <w:p w:rsidR="005112D6" w:rsidRPr="001465B3" w:rsidRDefault="0097570C" w:rsidP="008D4EA1">
      <w:pPr>
        <w:ind w:left="709" w:hanging="709"/>
        <w:jc w:val="both"/>
        <w:rPr>
          <w:sz w:val="24"/>
          <w:szCs w:val="24"/>
        </w:rPr>
      </w:pPr>
      <w:r>
        <w:t>4.1</w:t>
      </w:r>
      <w:r w:rsidRPr="001465B3">
        <w:rPr>
          <w:sz w:val="24"/>
          <w:szCs w:val="24"/>
        </w:rPr>
        <w:tab/>
        <w:t xml:space="preserve">Since 2010-11 </w:t>
      </w:r>
      <w:r w:rsidR="004D39B5">
        <w:rPr>
          <w:sz w:val="24"/>
          <w:szCs w:val="24"/>
        </w:rPr>
        <w:t xml:space="preserve">claims have been </w:t>
      </w:r>
      <w:r w:rsidR="0067115A">
        <w:rPr>
          <w:sz w:val="24"/>
          <w:szCs w:val="24"/>
        </w:rPr>
        <w:t>reported by level of study and fee status</w:t>
      </w:r>
      <w:r w:rsidRPr="001465B3">
        <w:rPr>
          <w:sz w:val="24"/>
          <w:szCs w:val="24"/>
        </w:rPr>
        <w:t>.</w:t>
      </w:r>
      <w:r w:rsidR="00B44F8C" w:rsidRPr="001465B3">
        <w:rPr>
          <w:sz w:val="24"/>
          <w:szCs w:val="24"/>
        </w:rPr>
        <w:t xml:space="preserve"> </w:t>
      </w:r>
    </w:p>
    <w:p w:rsidR="006F06E6" w:rsidRDefault="00FE57C4" w:rsidP="008D4EA1">
      <w:pPr>
        <w:ind w:left="709"/>
        <w:jc w:val="both"/>
        <w:rPr>
          <w:sz w:val="24"/>
          <w:szCs w:val="24"/>
        </w:rPr>
      </w:pPr>
      <w:r w:rsidRPr="00FE57C4">
        <w:rPr>
          <w:noProof/>
          <w:sz w:val="24"/>
          <w:szCs w:val="24"/>
          <w:lang w:eastAsia="en-GB"/>
        </w:rPr>
        <w:drawing>
          <wp:inline distT="0" distB="0" distL="0" distR="0">
            <wp:extent cx="4597166" cy="2608977"/>
            <wp:effectExtent l="0" t="0" r="0" b="0"/>
            <wp:docPr id="21"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285D15" w:rsidRPr="00285D15" w:rsidRDefault="00285D15" w:rsidP="008D4EA1">
      <w:pPr>
        <w:ind w:left="709"/>
        <w:jc w:val="both"/>
        <w:rPr>
          <w:b/>
          <w:sz w:val="24"/>
          <w:szCs w:val="24"/>
        </w:rPr>
      </w:pPr>
      <w:r w:rsidRPr="00285D15">
        <w:rPr>
          <w:b/>
          <w:sz w:val="24"/>
          <w:szCs w:val="24"/>
        </w:rPr>
        <w:t xml:space="preserve">Chart 3a – </w:t>
      </w:r>
      <w:r>
        <w:rPr>
          <w:b/>
          <w:sz w:val="24"/>
          <w:szCs w:val="24"/>
        </w:rPr>
        <w:t>Proportion of students with extenuation claims and the UEL population by fee status</w:t>
      </w:r>
      <w:r w:rsidR="00FE57C4">
        <w:rPr>
          <w:b/>
          <w:sz w:val="24"/>
          <w:szCs w:val="24"/>
        </w:rPr>
        <w:t xml:space="preserve"> – 2012/13</w:t>
      </w:r>
    </w:p>
    <w:p w:rsidR="00285D15" w:rsidRDefault="00285D15" w:rsidP="008D4EA1">
      <w:pPr>
        <w:ind w:left="709"/>
        <w:jc w:val="both"/>
        <w:rPr>
          <w:sz w:val="24"/>
          <w:szCs w:val="24"/>
        </w:rPr>
      </w:pPr>
    </w:p>
    <w:p w:rsidR="00D1184C" w:rsidRDefault="00016B58" w:rsidP="008D4EA1">
      <w:pPr>
        <w:ind w:left="709"/>
        <w:jc w:val="both"/>
        <w:rPr>
          <w:sz w:val="24"/>
          <w:szCs w:val="24"/>
        </w:rPr>
      </w:pPr>
      <w:r>
        <w:rPr>
          <w:sz w:val="24"/>
          <w:szCs w:val="24"/>
        </w:rPr>
        <w:t>Chart 3</w:t>
      </w:r>
      <w:r w:rsidR="00D1184C">
        <w:rPr>
          <w:sz w:val="24"/>
          <w:szCs w:val="24"/>
        </w:rPr>
        <w:t>a</w:t>
      </w:r>
      <w:r>
        <w:rPr>
          <w:sz w:val="24"/>
          <w:szCs w:val="24"/>
        </w:rPr>
        <w:t xml:space="preserve"> compares the proportion of students </w:t>
      </w:r>
      <w:r w:rsidR="00096041">
        <w:rPr>
          <w:sz w:val="24"/>
          <w:szCs w:val="24"/>
        </w:rPr>
        <w:t>who</w:t>
      </w:r>
      <w:r>
        <w:rPr>
          <w:sz w:val="24"/>
          <w:szCs w:val="24"/>
        </w:rPr>
        <w:t xml:space="preserve"> applied for extenuation against the UEL population by fee status. A </w:t>
      </w:r>
      <w:r w:rsidR="0067115A">
        <w:rPr>
          <w:sz w:val="24"/>
          <w:szCs w:val="24"/>
        </w:rPr>
        <w:t xml:space="preserve">slightly </w:t>
      </w:r>
      <w:r>
        <w:rPr>
          <w:sz w:val="24"/>
          <w:szCs w:val="24"/>
        </w:rPr>
        <w:t xml:space="preserve">higher proportion of home students applied for extenuation relative to the proportion of home students at UEL. </w:t>
      </w:r>
      <w:r w:rsidR="0067115A">
        <w:rPr>
          <w:sz w:val="24"/>
          <w:szCs w:val="24"/>
        </w:rPr>
        <w:t xml:space="preserve">This is in-line with previous </w:t>
      </w:r>
      <w:proofErr w:type="gramStart"/>
      <w:r w:rsidR="0067115A">
        <w:rPr>
          <w:sz w:val="24"/>
          <w:szCs w:val="24"/>
        </w:rPr>
        <w:t>years</w:t>
      </w:r>
      <w:proofErr w:type="gramEnd"/>
      <w:r w:rsidR="0067115A">
        <w:rPr>
          <w:sz w:val="24"/>
          <w:szCs w:val="24"/>
        </w:rPr>
        <w:t xml:space="preserve"> findings as illustrated in charts 3b and c below.</w:t>
      </w:r>
      <w:r w:rsidR="00285D15">
        <w:rPr>
          <w:sz w:val="24"/>
          <w:szCs w:val="24"/>
        </w:rPr>
        <w:t xml:space="preserve"> </w:t>
      </w:r>
      <w:r w:rsidR="00C04C8B" w:rsidRPr="008D4EA1">
        <w:rPr>
          <w:sz w:val="24"/>
          <w:szCs w:val="24"/>
        </w:rPr>
        <w:t xml:space="preserve">The proportion of home students claiming extenuation increased by </w:t>
      </w:r>
      <w:r w:rsidR="00285D15">
        <w:rPr>
          <w:sz w:val="24"/>
          <w:szCs w:val="24"/>
        </w:rPr>
        <w:t>two</w:t>
      </w:r>
      <w:r w:rsidR="00C04C8B" w:rsidRPr="008D4EA1">
        <w:rPr>
          <w:sz w:val="24"/>
          <w:szCs w:val="24"/>
        </w:rPr>
        <w:t xml:space="preserve"> percentage points</w:t>
      </w:r>
      <w:r w:rsidR="008D4EA1">
        <w:rPr>
          <w:sz w:val="24"/>
          <w:szCs w:val="24"/>
        </w:rPr>
        <w:t>,</w:t>
      </w:r>
      <w:r w:rsidR="00C04C8B" w:rsidRPr="008D4EA1">
        <w:rPr>
          <w:sz w:val="24"/>
          <w:szCs w:val="24"/>
        </w:rPr>
        <w:t xml:space="preserve"> whilst the proportion of overseas students claiming extenuation</w:t>
      </w:r>
      <w:r w:rsidR="008D4EA1">
        <w:rPr>
          <w:sz w:val="24"/>
          <w:szCs w:val="24"/>
        </w:rPr>
        <w:t>,</w:t>
      </w:r>
      <w:r w:rsidR="00C04C8B" w:rsidRPr="008D4EA1">
        <w:rPr>
          <w:sz w:val="24"/>
          <w:szCs w:val="24"/>
        </w:rPr>
        <w:t xml:space="preserve"> reduced. </w:t>
      </w:r>
    </w:p>
    <w:p w:rsidR="00D1184C" w:rsidRDefault="00D1184C" w:rsidP="00D1184C">
      <w:pPr>
        <w:ind w:left="709"/>
        <w:jc w:val="center"/>
        <w:rPr>
          <w:sz w:val="24"/>
          <w:szCs w:val="24"/>
        </w:rPr>
      </w:pPr>
      <w:r w:rsidRPr="00D1184C">
        <w:rPr>
          <w:noProof/>
          <w:sz w:val="24"/>
          <w:szCs w:val="24"/>
          <w:lang w:eastAsia="en-GB"/>
        </w:rPr>
        <w:drawing>
          <wp:inline distT="0" distB="0" distL="0" distR="0">
            <wp:extent cx="4001549" cy="2642532"/>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285D15" w:rsidRPr="00285D15" w:rsidRDefault="00285D15" w:rsidP="00285D15">
      <w:pPr>
        <w:ind w:left="709"/>
        <w:jc w:val="both"/>
        <w:rPr>
          <w:b/>
          <w:sz w:val="24"/>
          <w:szCs w:val="24"/>
        </w:rPr>
      </w:pPr>
      <w:r w:rsidRPr="00285D15">
        <w:rPr>
          <w:b/>
          <w:sz w:val="24"/>
          <w:szCs w:val="24"/>
        </w:rPr>
        <w:t>Chart 3</w:t>
      </w:r>
      <w:r>
        <w:rPr>
          <w:b/>
          <w:sz w:val="24"/>
          <w:szCs w:val="24"/>
        </w:rPr>
        <w:t>b</w:t>
      </w:r>
      <w:r w:rsidRPr="00285D15">
        <w:rPr>
          <w:b/>
          <w:sz w:val="24"/>
          <w:szCs w:val="24"/>
        </w:rPr>
        <w:t xml:space="preserve"> – </w:t>
      </w:r>
      <w:r>
        <w:rPr>
          <w:b/>
          <w:sz w:val="24"/>
          <w:szCs w:val="24"/>
        </w:rPr>
        <w:t>Proportion of students with extenuation claims and the UEL population by fee status – 2011/12</w:t>
      </w:r>
    </w:p>
    <w:p w:rsidR="00D1184C" w:rsidRDefault="00D1184C" w:rsidP="00D1184C">
      <w:pPr>
        <w:ind w:left="709"/>
        <w:jc w:val="center"/>
        <w:rPr>
          <w:sz w:val="24"/>
          <w:szCs w:val="24"/>
        </w:rPr>
      </w:pPr>
      <w:r w:rsidRPr="00D1184C">
        <w:rPr>
          <w:noProof/>
          <w:sz w:val="24"/>
          <w:szCs w:val="24"/>
          <w:lang w:eastAsia="en-GB"/>
        </w:rPr>
        <w:lastRenderedPageBreak/>
        <w:drawing>
          <wp:inline distT="0" distB="0" distL="0" distR="0">
            <wp:extent cx="3926947" cy="3499123"/>
            <wp:effectExtent l="0" t="0" r="0" b="0"/>
            <wp:docPr id="3"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285D15" w:rsidRPr="00285D15" w:rsidRDefault="00D1184C" w:rsidP="00285D15">
      <w:pPr>
        <w:ind w:left="709"/>
        <w:jc w:val="both"/>
        <w:rPr>
          <w:b/>
          <w:sz w:val="24"/>
          <w:szCs w:val="24"/>
        </w:rPr>
      </w:pPr>
      <w:r w:rsidRPr="00D1184C">
        <w:rPr>
          <w:b/>
          <w:sz w:val="24"/>
          <w:szCs w:val="24"/>
        </w:rPr>
        <w:t>Chart 3c</w:t>
      </w:r>
      <w:r w:rsidR="00285D15">
        <w:rPr>
          <w:b/>
          <w:sz w:val="24"/>
          <w:szCs w:val="24"/>
        </w:rPr>
        <w:t xml:space="preserve"> -</w:t>
      </w:r>
      <w:r w:rsidRPr="00D1184C">
        <w:rPr>
          <w:b/>
          <w:sz w:val="24"/>
          <w:szCs w:val="24"/>
        </w:rPr>
        <w:t xml:space="preserve"> </w:t>
      </w:r>
      <w:r w:rsidR="00285D15">
        <w:rPr>
          <w:b/>
          <w:sz w:val="24"/>
          <w:szCs w:val="24"/>
        </w:rPr>
        <w:t>Proportion of students with extenuation claims and the UEL population by fee status</w:t>
      </w:r>
      <w:r w:rsidR="0094436B">
        <w:rPr>
          <w:b/>
          <w:sz w:val="24"/>
          <w:szCs w:val="24"/>
        </w:rPr>
        <w:t xml:space="preserve"> -</w:t>
      </w:r>
      <w:r w:rsidR="00285D15">
        <w:rPr>
          <w:b/>
          <w:sz w:val="24"/>
          <w:szCs w:val="24"/>
        </w:rPr>
        <w:t xml:space="preserve"> 2010/11</w:t>
      </w:r>
    </w:p>
    <w:p w:rsidR="001D48E3" w:rsidRDefault="001D48E3" w:rsidP="001D48E3">
      <w:pPr>
        <w:ind w:left="709"/>
        <w:jc w:val="both"/>
        <w:rPr>
          <w:sz w:val="24"/>
          <w:szCs w:val="24"/>
        </w:rPr>
      </w:pPr>
      <w:r w:rsidRPr="001465B3">
        <w:rPr>
          <w:sz w:val="24"/>
          <w:szCs w:val="24"/>
        </w:rPr>
        <w:t xml:space="preserve">This year, </w:t>
      </w:r>
      <w:r>
        <w:rPr>
          <w:sz w:val="24"/>
          <w:szCs w:val="24"/>
        </w:rPr>
        <w:t>p</w:t>
      </w:r>
      <w:r w:rsidRPr="001465B3">
        <w:rPr>
          <w:sz w:val="24"/>
          <w:szCs w:val="24"/>
        </w:rPr>
        <w:t xml:space="preserve">ostgraduate claims were on average slightly more successful than </w:t>
      </w:r>
      <w:r>
        <w:rPr>
          <w:sz w:val="24"/>
          <w:szCs w:val="24"/>
        </w:rPr>
        <w:t>u</w:t>
      </w:r>
      <w:r w:rsidRPr="001465B3">
        <w:rPr>
          <w:sz w:val="24"/>
          <w:szCs w:val="24"/>
        </w:rPr>
        <w:t>ndergraduate claims</w:t>
      </w:r>
    </w:p>
    <w:p w:rsidR="00FE57C4" w:rsidRDefault="00FE57C4" w:rsidP="001D48E3">
      <w:pPr>
        <w:ind w:left="709"/>
        <w:jc w:val="both"/>
        <w:rPr>
          <w:sz w:val="24"/>
          <w:szCs w:val="24"/>
        </w:rPr>
      </w:pPr>
      <w:r w:rsidRPr="00FE57C4">
        <w:rPr>
          <w:noProof/>
          <w:sz w:val="24"/>
          <w:szCs w:val="24"/>
          <w:lang w:eastAsia="en-GB"/>
        </w:rPr>
        <w:drawing>
          <wp:inline distT="0" distB="0" distL="0" distR="0">
            <wp:extent cx="4873759" cy="3428494"/>
            <wp:effectExtent l="0" t="0" r="0" b="0"/>
            <wp:docPr id="23"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94436B" w:rsidRPr="00285D15" w:rsidRDefault="0094436B" w:rsidP="0094436B">
      <w:pPr>
        <w:ind w:left="709"/>
        <w:jc w:val="both"/>
        <w:rPr>
          <w:b/>
          <w:sz w:val="24"/>
          <w:szCs w:val="24"/>
        </w:rPr>
      </w:pPr>
      <w:r>
        <w:rPr>
          <w:b/>
          <w:sz w:val="24"/>
          <w:szCs w:val="24"/>
        </w:rPr>
        <w:t>Chart 4a - Proportion of students with extenuation claims and the UEL population by level of study</w:t>
      </w:r>
      <w:r w:rsidR="00FE57C4">
        <w:rPr>
          <w:b/>
          <w:sz w:val="24"/>
          <w:szCs w:val="24"/>
        </w:rPr>
        <w:t xml:space="preserve"> – 2012/13</w:t>
      </w:r>
    </w:p>
    <w:p w:rsidR="00016B58" w:rsidRDefault="00927092" w:rsidP="009D7E13">
      <w:pPr>
        <w:ind w:left="709"/>
        <w:rPr>
          <w:sz w:val="24"/>
          <w:szCs w:val="24"/>
        </w:rPr>
      </w:pPr>
      <w:r w:rsidRPr="00927092">
        <w:rPr>
          <w:sz w:val="24"/>
          <w:szCs w:val="24"/>
        </w:rPr>
        <w:t>*Excludes new begin</w:t>
      </w:r>
      <w:r>
        <w:rPr>
          <w:sz w:val="24"/>
          <w:szCs w:val="24"/>
        </w:rPr>
        <w:t>n</w:t>
      </w:r>
      <w:r w:rsidRPr="00927092">
        <w:rPr>
          <w:sz w:val="24"/>
          <w:szCs w:val="24"/>
        </w:rPr>
        <w:t>ings and distance learning students</w:t>
      </w:r>
    </w:p>
    <w:p w:rsidR="00927092" w:rsidRDefault="00927092" w:rsidP="008D4EA1">
      <w:pPr>
        <w:ind w:left="709"/>
        <w:jc w:val="both"/>
        <w:rPr>
          <w:rFonts w:eastAsia="Times New Roman" w:cs="Arial"/>
          <w:color w:val="000000"/>
          <w:sz w:val="24"/>
          <w:szCs w:val="24"/>
          <w:lang w:eastAsia="en-GB"/>
        </w:rPr>
      </w:pPr>
      <w:r w:rsidRPr="00927092">
        <w:rPr>
          <w:sz w:val="24"/>
          <w:szCs w:val="24"/>
        </w:rPr>
        <w:lastRenderedPageBreak/>
        <w:t xml:space="preserve">Chart </w:t>
      </w:r>
      <w:r>
        <w:rPr>
          <w:sz w:val="24"/>
          <w:szCs w:val="24"/>
        </w:rPr>
        <w:t>4</w:t>
      </w:r>
      <w:r w:rsidR="00D1184C">
        <w:rPr>
          <w:sz w:val="24"/>
          <w:szCs w:val="24"/>
        </w:rPr>
        <w:t>a</w:t>
      </w:r>
      <w:r w:rsidRPr="00927092">
        <w:rPr>
          <w:sz w:val="24"/>
          <w:szCs w:val="24"/>
        </w:rPr>
        <w:t xml:space="preserve"> </w:t>
      </w:r>
      <w:r w:rsidR="00D1184C">
        <w:rPr>
          <w:sz w:val="24"/>
          <w:szCs w:val="24"/>
        </w:rPr>
        <w:t xml:space="preserve">above </w:t>
      </w:r>
      <w:r w:rsidRPr="00927092">
        <w:rPr>
          <w:sz w:val="24"/>
          <w:szCs w:val="24"/>
        </w:rPr>
        <w:t xml:space="preserve">compares the proportion of students </w:t>
      </w:r>
      <w:r w:rsidR="00096041">
        <w:rPr>
          <w:sz w:val="24"/>
          <w:szCs w:val="24"/>
        </w:rPr>
        <w:t>who</w:t>
      </w:r>
      <w:r w:rsidRPr="00927092">
        <w:rPr>
          <w:sz w:val="24"/>
          <w:szCs w:val="24"/>
        </w:rPr>
        <w:t xml:space="preserve"> applied for extenuation and the UEL population by level of study</w:t>
      </w:r>
      <w:r w:rsidR="00D1184C">
        <w:rPr>
          <w:sz w:val="24"/>
          <w:szCs w:val="24"/>
        </w:rPr>
        <w:t xml:space="preserve"> for the 2012/13</w:t>
      </w:r>
      <w:r w:rsidRPr="00927092">
        <w:rPr>
          <w:sz w:val="24"/>
          <w:szCs w:val="24"/>
        </w:rPr>
        <w:t xml:space="preserve">. </w:t>
      </w:r>
      <w:r w:rsidRPr="00927092">
        <w:rPr>
          <w:rFonts w:eastAsia="Times New Roman" w:cs="Arial"/>
          <w:color w:val="000000"/>
          <w:sz w:val="24"/>
          <w:szCs w:val="24"/>
          <w:lang w:eastAsia="en-GB"/>
        </w:rPr>
        <w:t xml:space="preserve">A much lower proportion of postgraduate students applied for extenuation </w:t>
      </w:r>
      <w:r w:rsidR="0067115A">
        <w:rPr>
          <w:rFonts w:eastAsia="Times New Roman" w:cs="Arial"/>
          <w:color w:val="000000"/>
          <w:sz w:val="24"/>
          <w:szCs w:val="24"/>
          <w:lang w:eastAsia="en-GB"/>
        </w:rPr>
        <w:t>compared</w:t>
      </w:r>
      <w:r w:rsidR="0067115A" w:rsidRPr="00927092">
        <w:rPr>
          <w:rFonts w:eastAsia="Times New Roman" w:cs="Arial"/>
          <w:color w:val="000000"/>
          <w:sz w:val="24"/>
          <w:szCs w:val="24"/>
          <w:lang w:eastAsia="en-GB"/>
        </w:rPr>
        <w:t xml:space="preserve"> </w:t>
      </w:r>
      <w:r w:rsidRPr="00927092">
        <w:rPr>
          <w:rFonts w:eastAsia="Times New Roman" w:cs="Arial"/>
          <w:color w:val="000000"/>
          <w:sz w:val="24"/>
          <w:szCs w:val="24"/>
          <w:lang w:eastAsia="en-GB"/>
        </w:rPr>
        <w:t>to the proportion of postgraduate students at UEL.</w:t>
      </w:r>
      <w:r w:rsidR="00D1184C">
        <w:rPr>
          <w:rFonts w:eastAsia="Times New Roman" w:cs="Arial"/>
          <w:color w:val="000000"/>
          <w:sz w:val="24"/>
          <w:szCs w:val="24"/>
          <w:lang w:eastAsia="en-GB"/>
        </w:rPr>
        <w:t xml:space="preserve"> This pattern is consistent with the previous 2 academic years as illustrated in charts 4b and c below.</w:t>
      </w:r>
    </w:p>
    <w:p w:rsidR="001D48E3" w:rsidRDefault="00FE57C4" w:rsidP="008D4EA1">
      <w:pPr>
        <w:ind w:left="709"/>
        <w:jc w:val="both"/>
        <w:rPr>
          <w:rFonts w:eastAsia="Times New Roman" w:cs="Arial"/>
          <w:color w:val="000000"/>
          <w:sz w:val="24"/>
          <w:szCs w:val="24"/>
          <w:lang w:eastAsia="en-GB"/>
        </w:rPr>
      </w:pPr>
      <w:r w:rsidRPr="00FE57C4">
        <w:rPr>
          <w:rFonts w:eastAsia="Times New Roman" w:cs="Arial"/>
          <w:noProof/>
          <w:color w:val="000000"/>
          <w:sz w:val="24"/>
          <w:szCs w:val="24"/>
          <w:lang w:eastAsia="en-GB"/>
        </w:rPr>
        <w:drawing>
          <wp:inline distT="0" distB="0" distL="0" distR="0">
            <wp:extent cx="3926946" cy="3499123"/>
            <wp:effectExtent l="0" t="0" r="0" b="0"/>
            <wp:docPr id="24"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1184C" w:rsidRPr="00D1184C" w:rsidRDefault="0094436B" w:rsidP="0094436B">
      <w:pPr>
        <w:ind w:left="709"/>
        <w:jc w:val="both"/>
        <w:rPr>
          <w:rFonts w:eastAsia="Times New Roman" w:cs="Arial"/>
          <w:b/>
          <w:color w:val="000000"/>
          <w:sz w:val="24"/>
          <w:szCs w:val="24"/>
          <w:lang w:eastAsia="en-GB"/>
        </w:rPr>
      </w:pPr>
      <w:r>
        <w:rPr>
          <w:b/>
          <w:sz w:val="24"/>
          <w:szCs w:val="24"/>
        </w:rPr>
        <w:t xml:space="preserve">Chart 4b - Proportion of students with extenuation claims and the UEL population by level of study - </w:t>
      </w:r>
      <w:r w:rsidR="00D1184C" w:rsidRPr="00D1184C">
        <w:rPr>
          <w:rFonts w:eastAsia="Times New Roman" w:cs="Arial"/>
          <w:b/>
          <w:color w:val="000000"/>
          <w:sz w:val="24"/>
          <w:szCs w:val="24"/>
          <w:lang w:eastAsia="en-GB"/>
        </w:rPr>
        <w:t>2011/12</w:t>
      </w:r>
    </w:p>
    <w:p w:rsidR="00D1184C" w:rsidRDefault="00D1184C" w:rsidP="00D1184C">
      <w:pPr>
        <w:ind w:left="709"/>
        <w:jc w:val="center"/>
        <w:rPr>
          <w:rFonts w:eastAsia="Times New Roman" w:cs="Arial"/>
          <w:color w:val="000000"/>
          <w:sz w:val="24"/>
          <w:szCs w:val="24"/>
          <w:lang w:eastAsia="en-GB"/>
        </w:rPr>
      </w:pPr>
      <w:r w:rsidRPr="00D1184C">
        <w:rPr>
          <w:rFonts w:eastAsia="Times New Roman" w:cs="Arial"/>
          <w:noProof/>
          <w:color w:val="000000"/>
          <w:sz w:val="24"/>
          <w:szCs w:val="24"/>
          <w:lang w:eastAsia="en-GB"/>
        </w:rPr>
        <w:drawing>
          <wp:inline distT="0" distB="0" distL="0" distR="0">
            <wp:extent cx="4706224" cy="2952925"/>
            <wp:effectExtent l="0" t="0" r="0" b="0"/>
            <wp:docPr id="7"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94436B" w:rsidRPr="00285D15" w:rsidRDefault="00D1184C" w:rsidP="0094436B">
      <w:pPr>
        <w:ind w:left="709"/>
        <w:jc w:val="both"/>
        <w:rPr>
          <w:b/>
          <w:sz w:val="24"/>
          <w:szCs w:val="24"/>
        </w:rPr>
      </w:pPr>
      <w:r w:rsidRPr="00D1184C">
        <w:rPr>
          <w:rFonts w:eastAsia="Times New Roman" w:cs="Arial"/>
          <w:b/>
          <w:color w:val="000000"/>
          <w:sz w:val="24"/>
          <w:szCs w:val="24"/>
          <w:lang w:eastAsia="en-GB"/>
        </w:rPr>
        <w:t>Chart 4</w:t>
      </w:r>
      <w:r>
        <w:rPr>
          <w:rFonts w:eastAsia="Times New Roman" w:cs="Arial"/>
          <w:b/>
          <w:color w:val="000000"/>
          <w:sz w:val="24"/>
          <w:szCs w:val="24"/>
          <w:lang w:eastAsia="en-GB"/>
        </w:rPr>
        <w:t>c</w:t>
      </w:r>
      <w:r w:rsidRPr="00D1184C">
        <w:rPr>
          <w:rFonts w:eastAsia="Times New Roman" w:cs="Arial"/>
          <w:b/>
          <w:color w:val="000000"/>
          <w:sz w:val="24"/>
          <w:szCs w:val="24"/>
          <w:lang w:eastAsia="en-GB"/>
        </w:rPr>
        <w:t xml:space="preserve"> </w:t>
      </w:r>
      <w:r w:rsidR="0094436B">
        <w:rPr>
          <w:b/>
          <w:sz w:val="24"/>
          <w:szCs w:val="24"/>
        </w:rPr>
        <w:t>- Proportion of students with extenuation claims and the UEL population by level of study – 2010/11</w:t>
      </w:r>
    </w:p>
    <w:p w:rsidR="005112D6" w:rsidRPr="003B5339" w:rsidRDefault="005112D6" w:rsidP="005112D6">
      <w:pPr>
        <w:pStyle w:val="ListParagraph"/>
        <w:numPr>
          <w:ilvl w:val="0"/>
          <w:numId w:val="1"/>
        </w:numPr>
        <w:ind w:left="0" w:firstLine="0"/>
        <w:rPr>
          <w:b/>
        </w:rPr>
      </w:pPr>
      <w:r w:rsidRPr="003B5339">
        <w:rPr>
          <w:b/>
        </w:rPr>
        <w:lastRenderedPageBreak/>
        <w:t>Equality and Diversity Monitoring</w:t>
      </w:r>
    </w:p>
    <w:p w:rsidR="005112D6" w:rsidRDefault="005112D6" w:rsidP="005112D6">
      <w:pPr>
        <w:pStyle w:val="ListParagraph"/>
      </w:pPr>
    </w:p>
    <w:p w:rsidR="008E49E4" w:rsidRDefault="008E49E4" w:rsidP="0094436B">
      <w:pPr>
        <w:pStyle w:val="ListParagraph"/>
        <w:ind w:left="709" w:hanging="709"/>
        <w:jc w:val="both"/>
        <w:rPr>
          <w:sz w:val="24"/>
          <w:szCs w:val="24"/>
        </w:rPr>
      </w:pPr>
      <w:r>
        <w:t>5.1</w:t>
      </w:r>
      <w:r>
        <w:tab/>
      </w:r>
      <w:r w:rsidR="0094436B">
        <w:t>E</w:t>
      </w:r>
      <w:r w:rsidRPr="001465B3">
        <w:rPr>
          <w:sz w:val="24"/>
          <w:szCs w:val="24"/>
        </w:rPr>
        <w:t>qual opportunities monitoring data for this report was obtained from</w:t>
      </w:r>
      <w:r w:rsidR="0094436B">
        <w:rPr>
          <w:sz w:val="24"/>
          <w:szCs w:val="24"/>
        </w:rPr>
        <w:t xml:space="preserve"> MIS and</w:t>
      </w:r>
      <w:r w:rsidRPr="001465B3">
        <w:rPr>
          <w:sz w:val="24"/>
          <w:szCs w:val="24"/>
        </w:rPr>
        <w:t xml:space="preserve"> DELTA.</w:t>
      </w:r>
      <w:r w:rsidR="0094436B">
        <w:rPr>
          <w:sz w:val="24"/>
          <w:szCs w:val="24"/>
        </w:rPr>
        <w:t xml:space="preserve"> DELTA was used for the extenuation population data </w:t>
      </w:r>
      <w:r w:rsidR="001D48E3">
        <w:rPr>
          <w:sz w:val="24"/>
          <w:szCs w:val="24"/>
        </w:rPr>
        <w:t>whilst</w:t>
      </w:r>
      <w:r w:rsidR="0094436B">
        <w:rPr>
          <w:sz w:val="24"/>
          <w:szCs w:val="24"/>
        </w:rPr>
        <w:t xml:space="preserve"> MIS </w:t>
      </w:r>
      <w:r w:rsidR="001D48E3">
        <w:rPr>
          <w:sz w:val="24"/>
          <w:szCs w:val="24"/>
        </w:rPr>
        <w:t xml:space="preserve">was used </w:t>
      </w:r>
      <w:r w:rsidR="0094436B">
        <w:rPr>
          <w:sz w:val="24"/>
          <w:szCs w:val="24"/>
        </w:rPr>
        <w:t>for UEL enrolment data</w:t>
      </w:r>
      <w:r w:rsidR="001D48E3">
        <w:rPr>
          <w:sz w:val="24"/>
          <w:szCs w:val="24"/>
        </w:rPr>
        <w:t xml:space="preserve"> analyses.</w:t>
      </w:r>
    </w:p>
    <w:p w:rsidR="00592A34" w:rsidRDefault="00592A34" w:rsidP="008D4EA1">
      <w:pPr>
        <w:pStyle w:val="ListParagraph"/>
        <w:ind w:left="709" w:firstLine="11"/>
        <w:jc w:val="both"/>
        <w:rPr>
          <w:sz w:val="24"/>
          <w:szCs w:val="24"/>
        </w:rPr>
      </w:pPr>
      <w:r>
        <w:rPr>
          <w:sz w:val="24"/>
          <w:szCs w:val="24"/>
        </w:rPr>
        <w:t>All data is based on unique values, repeated incidences for a single student were removed.</w:t>
      </w:r>
    </w:p>
    <w:p w:rsidR="00865C06" w:rsidRPr="001465B3" w:rsidRDefault="00865C06" w:rsidP="008D4EA1">
      <w:pPr>
        <w:pStyle w:val="ListParagraph"/>
        <w:ind w:left="0"/>
        <w:jc w:val="both"/>
        <w:rPr>
          <w:sz w:val="24"/>
          <w:szCs w:val="24"/>
        </w:rPr>
      </w:pPr>
    </w:p>
    <w:p w:rsidR="004C21C6" w:rsidRPr="001465B3" w:rsidRDefault="004C21C6" w:rsidP="008D4EA1">
      <w:pPr>
        <w:pStyle w:val="ListParagraph"/>
        <w:ind w:left="709" w:hanging="709"/>
        <w:jc w:val="both"/>
        <w:rPr>
          <w:sz w:val="24"/>
          <w:szCs w:val="24"/>
        </w:rPr>
      </w:pPr>
      <w:r w:rsidRPr="001465B3">
        <w:rPr>
          <w:sz w:val="24"/>
          <w:szCs w:val="24"/>
        </w:rPr>
        <w:t>5.2</w:t>
      </w:r>
      <w:r w:rsidRPr="001465B3">
        <w:rPr>
          <w:sz w:val="24"/>
          <w:szCs w:val="24"/>
        </w:rPr>
        <w:tab/>
      </w:r>
      <w:r w:rsidR="00592A34">
        <w:rPr>
          <w:sz w:val="24"/>
          <w:szCs w:val="24"/>
        </w:rPr>
        <w:t>A</w:t>
      </w:r>
      <w:r w:rsidRPr="001465B3">
        <w:rPr>
          <w:sz w:val="24"/>
          <w:szCs w:val="24"/>
        </w:rPr>
        <w:t xml:space="preserve">ll claims are considered anonymously by the </w:t>
      </w:r>
      <w:r w:rsidR="00CA76EC" w:rsidRPr="001465B3">
        <w:rPr>
          <w:sz w:val="24"/>
          <w:szCs w:val="24"/>
        </w:rPr>
        <w:t xml:space="preserve">extenuation </w:t>
      </w:r>
      <w:r w:rsidRPr="001465B3">
        <w:rPr>
          <w:sz w:val="24"/>
          <w:szCs w:val="24"/>
        </w:rPr>
        <w:t xml:space="preserve">panel.  No data relating to the claimant’s gender, age, ethnicity or disability </w:t>
      </w:r>
      <w:r w:rsidR="00CA76EC" w:rsidRPr="001465B3">
        <w:rPr>
          <w:sz w:val="24"/>
          <w:szCs w:val="24"/>
        </w:rPr>
        <w:t>is included on the form or available to the panel members.</w:t>
      </w:r>
    </w:p>
    <w:p w:rsidR="00865C06" w:rsidRDefault="00865C06" w:rsidP="008D4EA1">
      <w:pPr>
        <w:pStyle w:val="ListParagraph"/>
        <w:ind w:left="0"/>
        <w:jc w:val="both"/>
        <w:rPr>
          <w:sz w:val="24"/>
          <w:szCs w:val="24"/>
        </w:rPr>
      </w:pPr>
    </w:p>
    <w:p w:rsidR="008D4EA1" w:rsidRDefault="008D4EA1" w:rsidP="008D4EA1">
      <w:pPr>
        <w:pStyle w:val="ListParagraph"/>
        <w:ind w:left="0"/>
        <w:jc w:val="both"/>
        <w:rPr>
          <w:sz w:val="24"/>
          <w:szCs w:val="24"/>
        </w:rPr>
      </w:pPr>
    </w:p>
    <w:p w:rsidR="008E49E4" w:rsidRDefault="008E49E4" w:rsidP="008D4EA1">
      <w:pPr>
        <w:pStyle w:val="ListParagraph"/>
        <w:ind w:left="0"/>
        <w:jc w:val="both"/>
        <w:rPr>
          <w:b/>
          <w:sz w:val="24"/>
          <w:szCs w:val="24"/>
        </w:rPr>
      </w:pPr>
      <w:r w:rsidRPr="001465B3">
        <w:rPr>
          <w:sz w:val="24"/>
          <w:szCs w:val="24"/>
        </w:rPr>
        <w:t>5.</w:t>
      </w:r>
      <w:r w:rsidR="004C21C6" w:rsidRPr="001465B3">
        <w:rPr>
          <w:sz w:val="24"/>
          <w:szCs w:val="24"/>
        </w:rPr>
        <w:t>3</w:t>
      </w:r>
      <w:r w:rsidRPr="001465B3">
        <w:rPr>
          <w:sz w:val="24"/>
          <w:szCs w:val="24"/>
        </w:rPr>
        <w:tab/>
      </w:r>
      <w:r w:rsidRPr="001465B3">
        <w:rPr>
          <w:b/>
          <w:sz w:val="24"/>
          <w:szCs w:val="24"/>
        </w:rPr>
        <w:t>Gender</w:t>
      </w:r>
    </w:p>
    <w:p w:rsidR="00FE57C4" w:rsidRDefault="00FE57C4" w:rsidP="008D4EA1">
      <w:pPr>
        <w:pStyle w:val="ListParagraph"/>
        <w:ind w:left="0"/>
        <w:jc w:val="both"/>
        <w:rPr>
          <w:b/>
          <w:sz w:val="24"/>
          <w:szCs w:val="24"/>
        </w:rPr>
      </w:pPr>
    </w:p>
    <w:p w:rsidR="00FE57C4" w:rsidRPr="001465B3" w:rsidRDefault="00FE57C4" w:rsidP="008D4EA1">
      <w:pPr>
        <w:pStyle w:val="ListParagraph"/>
        <w:ind w:left="0"/>
        <w:jc w:val="both"/>
        <w:rPr>
          <w:sz w:val="24"/>
          <w:szCs w:val="24"/>
        </w:rPr>
      </w:pPr>
      <w:r w:rsidRPr="00FE57C4">
        <w:rPr>
          <w:noProof/>
          <w:sz w:val="24"/>
          <w:szCs w:val="24"/>
          <w:lang w:eastAsia="en-GB"/>
        </w:rPr>
        <w:drawing>
          <wp:inline distT="0" distB="0" distL="0" distR="0">
            <wp:extent cx="3858664" cy="3499122"/>
            <wp:effectExtent l="0" t="0" r="0" b="0"/>
            <wp:docPr id="2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94436B" w:rsidRPr="00285D15" w:rsidRDefault="0094436B" w:rsidP="0094436B">
      <w:pPr>
        <w:ind w:left="709"/>
        <w:jc w:val="both"/>
        <w:rPr>
          <w:b/>
          <w:sz w:val="24"/>
          <w:szCs w:val="24"/>
        </w:rPr>
      </w:pPr>
      <w:r>
        <w:rPr>
          <w:b/>
          <w:sz w:val="24"/>
          <w:szCs w:val="24"/>
        </w:rPr>
        <w:t>Chart 5a - Proportion of students with extenuation claims and the UEL population by gender</w:t>
      </w:r>
      <w:r w:rsidR="00FE57C4">
        <w:rPr>
          <w:b/>
          <w:sz w:val="24"/>
          <w:szCs w:val="24"/>
        </w:rPr>
        <w:t xml:space="preserve"> – 2012/13</w:t>
      </w:r>
    </w:p>
    <w:p w:rsidR="0094436B" w:rsidRPr="001465B3" w:rsidRDefault="0094436B" w:rsidP="008D4EA1">
      <w:pPr>
        <w:pStyle w:val="ListParagraph"/>
        <w:ind w:left="0"/>
        <w:jc w:val="both"/>
        <w:rPr>
          <w:sz w:val="24"/>
          <w:szCs w:val="24"/>
        </w:rPr>
      </w:pPr>
    </w:p>
    <w:p w:rsidR="008E49E4" w:rsidRDefault="00250011" w:rsidP="008D4EA1">
      <w:pPr>
        <w:pStyle w:val="ListParagraph"/>
        <w:ind w:left="709"/>
        <w:jc w:val="both"/>
        <w:rPr>
          <w:sz w:val="24"/>
          <w:szCs w:val="24"/>
        </w:rPr>
      </w:pPr>
      <w:r w:rsidRPr="00250011">
        <w:rPr>
          <w:sz w:val="24"/>
          <w:szCs w:val="24"/>
        </w:rPr>
        <w:t xml:space="preserve">Chart </w:t>
      </w:r>
      <w:r w:rsidR="00927092">
        <w:rPr>
          <w:sz w:val="24"/>
          <w:szCs w:val="24"/>
        </w:rPr>
        <w:t>5</w:t>
      </w:r>
      <w:r w:rsidR="00D93714">
        <w:rPr>
          <w:sz w:val="24"/>
          <w:szCs w:val="24"/>
        </w:rPr>
        <w:t>a, above</w:t>
      </w:r>
      <w:r w:rsidRPr="00250011">
        <w:rPr>
          <w:sz w:val="24"/>
          <w:szCs w:val="24"/>
        </w:rPr>
        <w:t xml:space="preserve"> compares the proportion of students </w:t>
      </w:r>
      <w:r w:rsidR="00911292">
        <w:rPr>
          <w:sz w:val="24"/>
          <w:szCs w:val="24"/>
        </w:rPr>
        <w:t>who</w:t>
      </w:r>
      <w:r w:rsidRPr="00250011">
        <w:rPr>
          <w:sz w:val="24"/>
          <w:szCs w:val="24"/>
        </w:rPr>
        <w:t xml:space="preserve"> applied for extenuation and the UEL population by gender</w:t>
      </w:r>
      <w:r w:rsidR="00D93714">
        <w:rPr>
          <w:sz w:val="24"/>
          <w:szCs w:val="24"/>
        </w:rPr>
        <w:t xml:space="preserve"> </w:t>
      </w:r>
      <w:r w:rsidR="004B2F3C">
        <w:rPr>
          <w:sz w:val="24"/>
          <w:szCs w:val="24"/>
        </w:rPr>
        <w:t>in</w:t>
      </w:r>
      <w:r w:rsidR="00D93714">
        <w:rPr>
          <w:sz w:val="24"/>
          <w:szCs w:val="24"/>
        </w:rPr>
        <w:t xml:space="preserve"> 2012/13</w:t>
      </w:r>
      <w:r w:rsidRPr="00250011">
        <w:rPr>
          <w:sz w:val="24"/>
          <w:szCs w:val="24"/>
        </w:rPr>
        <w:t>.</w:t>
      </w:r>
      <w:r w:rsidR="007A0283">
        <w:rPr>
          <w:sz w:val="24"/>
          <w:szCs w:val="24"/>
        </w:rPr>
        <w:t xml:space="preserve"> </w:t>
      </w:r>
      <w:r w:rsidRPr="00250011">
        <w:rPr>
          <w:sz w:val="24"/>
          <w:szCs w:val="24"/>
        </w:rPr>
        <w:t>The proportion of extenuation</w:t>
      </w:r>
      <w:r w:rsidR="00911292">
        <w:rPr>
          <w:sz w:val="24"/>
          <w:szCs w:val="24"/>
        </w:rPr>
        <w:t xml:space="preserve"> claims</w:t>
      </w:r>
      <w:r w:rsidRPr="00250011">
        <w:rPr>
          <w:sz w:val="24"/>
          <w:szCs w:val="24"/>
        </w:rPr>
        <w:t xml:space="preserve"> by female students was higher than the proportion of female students at UEL by 7 percentage points. </w:t>
      </w:r>
      <w:r w:rsidR="008E49E4" w:rsidRPr="001465B3">
        <w:rPr>
          <w:sz w:val="24"/>
          <w:szCs w:val="24"/>
        </w:rPr>
        <w:t xml:space="preserve">Our annual reports </w:t>
      </w:r>
      <w:r w:rsidR="001D48E3">
        <w:rPr>
          <w:sz w:val="24"/>
          <w:szCs w:val="24"/>
        </w:rPr>
        <w:t>c</w:t>
      </w:r>
      <w:r w:rsidR="008E49E4" w:rsidRPr="001465B3">
        <w:rPr>
          <w:sz w:val="24"/>
          <w:szCs w:val="24"/>
        </w:rPr>
        <w:t>onsistently demonstrate that female students are more likely to apply for extenuating circumstance</w:t>
      </w:r>
      <w:r w:rsidR="00EB08D2">
        <w:rPr>
          <w:sz w:val="24"/>
          <w:szCs w:val="24"/>
        </w:rPr>
        <w:t>s</w:t>
      </w:r>
      <w:r w:rsidR="008E49E4" w:rsidRPr="001465B3">
        <w:rPr>
          <w:sz w:val="24"/>
          <w:szCs w:val="24"/>
        </w:rPr>
        <w:t xml:space="preserve"> than male students.  </w:t>
      </w:r>
      <w:r w:rsidR="00D93714">
        <w:rPr>
          <w:sz w:val="24"/>
          <w:szCs w:val="24"/>
        </w:rPr>
        <w:t>This trend is reflected in charts 5b and c below.</w:t>
      </w:r>
    </w:p>
    <w:p w:rsidR="00D93714" w:rsidRDefault="00D93714" w:rsidP="008D4EA1">
      <w:pPr>
        <w:pStyle w:val="ListParagraph"/>
        <w:ind w:left="709"/>
        <w:jc w:val="both"/>
        <w:rPr>
          <w:sz w:val="24"/>
          <w:szCs w:val="24"/>
        </w:rPr>
      </w:pPr>
    </w:p>
    <w:p w:rsidR="00D93714" w:rsidRDefault="00D93714" w:rsidP="008D4EA1">
      <w:pPr>
        <w:pStyle w:val="ListParagraph"/>
        <w:ind w:left="709"/>
        <w:jc w:val="both"/>
        <w:rPr>
          <w:sz w:val="24"/>
          <w:szCs w:val="24"/>
        </w:rPr>
      </w:pPr>
    </w:p>
    <w:p w:rsidR="00D93714" w:rsidRDefault="00D93714" w:rsidP="008D4EA1">
      <w:pPr>
        <w:pStyle w:val="ListParagraph"/>
        <w:ind w:left="709"/>
        <w:jc w:val="both"/>
        <w:rPr>
          <w:sz w:val="24"/>
          <w:szCs w:val="24"/>
        </w:rPr>
      </w:pPr>
    </w:p>
    <w:p w:rsidR="00D93714" w:rsidRDefault="00D93714" w:rsidP="008D4EA1">
      <w:pPr>
        <w:pStyle w:val="ListParagraph"/>
        <w:ind w:left="709"/>
        <w:jc w:val="both"/>
        <w:rPr>
          <w:sz w:val="24"/>
          <w:szCs w:val="24"/>
        </w:rPr>
      </w:pPr>
      <w:r w:rsidRPr="00D93714">
        <w:rPr>
          <w:noProof/>
          <w:sz w:val="24"/>
          <w:szCs w:val="24"/>
          <w:lang w:eastAsia="en-GB"/>
        </w:rPr>
        <w:drawing>
          <wp:inline distT="0" distB="0" distL="0" distR="0">
            <wp:extent cx="3926946" cy="3509513"/>
            <wp:effectExtent l="0" t="0" r="0" b="0"/>
            <wp:docPr id="12"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4436B" w:rsidRPr="00285D15" w:rsidRDefault="00D93714" w:rsidP="0094436B">
      <w:pPr>
        <w:ind w:left="1418"/>
        <w:jc w:val="both"/>
        <w:rPr>
          <w:b/>
          <w:sz w:val="24"/>
          <w:szCs w:val="24"/>
        </w:rPr>
      </w:pPr>
      <w:r w:rsidRPr="00D93714">
        <w:rPr>
          <w:b/>
          <w:sz w:val="24"/>
          <w:szCs w:val="24"/>
        </w:rPr>
        <w:t xml:space="preserve">Chart 5b </w:t>
      </w:r>
      <w:r w:rsidR="0094436B">
        <w:rPr>
          <w:b/>
          <w:sz w:val="24"/>
          <w:szCs w:val="24"/>
        </w:rPr>
        <w:t>- Proportion of students with extenuation claims and the UEL population by gender – 2011/12</w:t>
      </w:r>
    </w:p>
    <w:p w:rsidR="00D93714" w:rsidRDefault="00D93714" w:rsidP="008D4EA1">
      <w:pPr>
        <w:pStyle w:val="ListParagraph"/>
        <w:ind w:left="709"/>
        <w:jc w:val="both"/>
        <w:rPr>
          <w:sz w:val="24"/>
          <w:szCs w:val="24"/>
        </w:rPr>
      </w:pPr>
    </w:p>
    <w:p w:rsidR="00D93714" w:rsidRDefault="00D93714" w:rsidP="008D4EA1">
      <w:pPr>
        <w:pStyle w:val="ListParagraph"/>
        <w:ind w:left="709"/>
        <w:jc w:val="both"/>
        <w:rPr>
          <w:sz w:val="24"/>
          <w:szCs w:val="24"/>
        </w:rPr>
      </w:pPr>
      <w:r w:rsidRPr="00D93714">
        <w:rPr>
          <w:noProof/>
          <w:sz w:val="24"/>
          <w:szCs w:val="24"/>
          <w:lang w:eastAsia="en-GB"/>
        </w:rPr>
        <w:drawing>
          <wp:inline distT="0" distB="0" distL="0" distR="0">
            <wp:extent cx="3908886" cy="3500607"/>
            <wp:effectExtent l="0" t="0" r="0" b="0"/>
            <wp:docPr id="13"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94436B" w:rsidRPr="00285D15" w:rsidRDefault="00D93714" w:rsidP="0094436B">
      <w:pPr>
        <w:ind w:left="709"/>
        <w:jc w:val="both"/>
        <w:rPr>
          <w:b/>
          <w:sz w:val="24"/>
          <w:szCs w:val="24"/>
        </w:rPr>
      </w:pPr>
      <w:r w:rsidRPr="00D93714">
        <w:rPr>
          <w:b/>
          <w:sz w:val="24"/>
          <w:szCs w:val="24"/>
        </w:rPr>
        <w:t>Chart 5</w:t>
      </w:r>
      <w:r>
        <w:rPr>
          <w:b/>
          <w:sz w:val="24"/>
          <w:szCs w:val="24"/>
        </w:rPr>
        <w:t>c</w:t>
      </w:r>
      <w:r w:rsidR="0094436B">
        <w:rPr>
          <w:b/>
          <w:sz w:val="24"/>
          <w:szCs w:val="24"/>
        </w:rPr>
        <w:t>-</w:t>
      </w:r>
      <w:r w:rsidRPr="00D93714">
        <w:rPr>
          <w:b/>
          <w:sz w:val="24"/>
          <w:szCs w:val="24"/>
        </w:rPr>
        <w:t xml:space="preserve"> </w:t>
      </w:r>
      <w:r w:rsidR="0094436B">
        <w:rPr>
          <w:b/>
          <w:sz w:val="24"/>
          <w:szCs w:val="24"/>
        </w:rPr>
        <w:t>Proportion of students with extenuation claims and the UEL population by gender – 2010/11</w:t>
      </w:r>
    </w:p>
    <w:p w:rsidR="00D93714" w:rsidRPr="00D93714" w:rsidRDefault="00D93714" w:rsidP="00D93714">
      <w:pPr>
        <w:pStyle w:val="ListParagraph"/>
        <w:ind w:left="709"/>
        <w:rPr>
          <w:b/>
          <w:sz w:val="24"/>
          <w:szCs w:val="24"/>
        </w:rPr>
      </w:pPr>
    </w:p>
    <w:p w:rsidR="00D93714" w:rsidRDefault="00D93714" w:rsidP="008D4EA1">
      <w:pPr>
        <w:pStyle w:val="ListParagraph"/>
        <w:ind w:left="709"/>
        <w:jc w:val="both"/>
        <w:rPr>
          <w:sz w:val="24"/>
          <w:szCs w:val="24"/>
        </w:rPr>
      </w:pPr>
    </w:p>
    <w:p w:rsidR="005112D6" w:rsidRDefault="005F6888" w:rsidP="008D4EA1">
      <w:pPr>
        <w:jc w:val="both"/>
        <w:rPr>
          <w:b/>
          <w:sz w:val="24"/>
          <w:szCs w:val="24"/>
        </w:rPr>
      </w:pPr>
      <w:r w:rsidRPr="009031C9">
        <w:t>5.</w:t>
      </w:r>
      <w:r w:rsidR="004C21C6">
        <w:t>4</w:t>
      </w:r>
      <w:r w:rsidRPr="009031C9">
        <w:tab/>
      </w:r>
      <w:r w:rsidRPr="001465B3">
        <w:rPr>
          <w:b/>
          <w:sz w:val="24"/>
          <w:szCs w:val="24"/>
        </w:rPr>
        <w:t>Ethnicity</w:t>
      </w:r>
    </w:p>
    <w:p w:rsidR="00F93C29" w:rsidRDefault="00F93C29" w:rsidP="008D4EA1">
      <w:pPr>
        <w:jc w:val="both"/>
        <w:rPr>
          <w:b/>
          <w:sz w:val="24"/>
          <w:szCs w:val="24"/>
        </w:rPr>
      </w:pPr>
      <w:r w:rsidRPr="00F93C29">
        <w:rPr>
          <w:b/>
          <w:noProof/>
          <w:sz w:val="24"/>
          <w:szCs w:val="24"/>
          <w:lang w:eastAsia="en-GB"/>
        </w:rPr>
        <w:drawing>
          <wp:inline distT="0" distB="0" distL="0" distR="0">
            <wp:extent cx="4627417" cy="3048000"/>
            <wp:effectExtent l="0" t="0" r="0" b="0"/>
            <wp:docPr id="2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rsidR="0094436B" w:rsidRPr="00285D15" w:rsidRDefault="0094436B" w:rsidP="0094436B">
      <w:pPr>
        <w:ind w:left="709"/>
        <w:jc w:val="both"/>
        <w:rPr>
          <w:b/>
          <w:sz w:val="24"/>
          <w:szCs w:val="24"/>
        </w:rPr>
      </w:pPr>
      <w:r>
        <w:rPr>
          <w:b/>
          <w:sz w:val="24"/>
          <w:szCs w:val="24"/>
        </w:rPr>
        <w:t>Chart 6a - Proportion of students with extenuation claims and the UEL population by ethnicity</w:t>
      </w:r>
      <w:r w:rsidR="00F93C29">
        <w:rPr>
          <w:b/>
          <w:sz w:val="24"/>
          <w:szCs w:val="24"/>
        </w:rPr>
        <w:t xml:space="preserve"> – 2012/13</w:t>
      </w:r>
    </w:p>
    <w:p w:rsidR="00135B97" w:rsidRDefault="00250011" w:rsidP="00135B97">
      <w:pPr>
        <w:ind w:left="709"/>
        <w:jc w:val="both"/>
        <w:rPr>
          <w:rFonts w:eastAsia="Times New Roman" w:cs="Arial"/>
          <w:color w:val="000000"/>
          <w:sz w:val="24"/>
          <w:szCs w:val="24"/>
          <w:lang w:eastAsia="en-GB"/>
        </w:rPr>
      </w:pPr>
      <w:r w:rsidRPr="00250011">
        <w:rPr>
          <w:sz w:val="24"/>
          <w:szCs w:val="24"/>
        </w:rPr>
        <w:t xml:space="preserve">Chart </w:t>
      </w:r>
      <w:r w:rsidR="00927092">
        <w:rPr>
          <w:sz w:val="24"/>
          <w:szCs w:val="24"/>
        </w:rPr>
        <w:t>6</w:t>
      </w:r>
      <w:r w:rsidR="00D93714">
        <w:rPr>
          <w:sz w:val="24"/>
          <w:szCs w:val="24"/>
        </w:rPr>
        <w:t>a above,</w:t>
      </w:r>
      <w:r w:rsidRPr="00250011">
        <w:rPr>
          <w:sz w:val="24"/>
          <w:szCs w:val="24"/>
        </w:rPr>
        <w:t xml:space="preserve"> compares the proportion of students </w:t>
      </w:r>
      <w:r w:rsidR="00911292">
        <w:rPr>
          <w:sz w:val="24"/>
          <w:szCs w:val="24"/>
        </w:rPr>
        <w:t>who</w:t>
      </w:r>
      <w:r w:rsidRPr="00250011">
        <w:rPr>
          <w:sz w:val="24"/>
          <w:szCs w:val="24"/>
        </w:rPr>
        <w:t xml:space="preserve"> applied for extenuation and the UEL population by ethnicity</w:t>
      </w:r>
      <w:r w:rsidR="00D93714">
        <w:rPr>
          <w:sz w:val="24"/>
          <w:szCs w:val="24"/>
        </w:rPr>
        <w:t xml:space="preserve"> </w:t>
      </w:r>
      <w:r w:rsidR="004B2F3C">
        <w:rPr>
          <w:sz w:val="24"/>
          <w:szCs w:val="24"/>
        </w:rPr>
        <w:t>in</w:t>
      </w:r>
      <w:r w:rsidR="00D93714">
        <w:rPr>
          <w:sz w:val="24"/>
          <w:szCs w:val="24"/>
        </w:rPr>
        <w:t xml:space="preserve"> 2012/13</w:t>
      </w:r>
      <w:r w:rsidRPr="00250011">
        <w:rPr>
          <w:sz w:val="24"/>
          <w:szCs w:val="24"/>
        </w:rPr>
        <w:t>.</w:t>
      </w:r>
      <w:r>
        <w:rPr>
          <w:sz w:val="24"/>
          <w:szCs w:val="24"/>
        </w:rPr>
        <w:t xml:space="preserve"> </w:t>
      </w:r>
      <w:r w:rsidRPr="00250011">
        <w:rPr>
          <w:sz w:val="24"/>
          <w:szCs w:val="24"/>
        </w:rPr>
        <w:t xml:space="preserve">The proportion of </w:t>
      </w:r>
      <w:r w:rsidR="004B2F3C">
        <w:rPr>
          <w:sz w:val="24"/>
          <w:szCs w:val="24"/>
        </w:rPr>
        <w:t xml:space="preserve">white and mixed ethnicity </w:t>
      </w:r>
      <w:r w:rsidR="004B2F3C">
        <w:rPr>
          <w:rFonts w:eastAsia="Times New Roman" w:cs="Arial"/>
          <w:color w:val="000000"/>
          <w:sz w:val="24"/>
          <w:szCs w:val="24"/>
          <w:lang w:eastAsia="en-GB"/>
        </w:rPr>
        <w:t>students with extenuation claims</w:t>
      </w:r>
      <w:r w:rsidRPr="00250011">
        <w:rPr>
          <w:rFonts w:eastAsia="Times New Roman" w:cs="Arial"/>
          <w:color w:val="000000"/>
          <w:sz w:val="24"/>
          <w:szCs w:val="24"/>
          <w:lang w:eastAsia="en-GB"/>
        </w:rPr>
        <w:t xml:space="preserve"> was much lower than the proportion of these ethnicities at UEL. In turn the proportion of black </w:t>
      </w:r>
      <w:r w:rsidR="004B2F3C">
        <w:rPr>
          <w:rFonts w:eastAsia="Times New Roman" w:cs="Arial"/>
          <w:color w:val="000000"/>
          <w:sz w:val="24"/>
          <w:szCs w:val="24"/>
          <w:lang w:eastAsia="en-GB"/>
        </w:rPr>
        <w:t xml:space="preserve">ethnicity </w:t>
      </w:r>
      <w:r w:rsidRPr="00250011">
        <w:rPr>
          <w:rFonts w:eastAsia="Times New Roman" w:cs="Arial"/>
          <w:color w:val="000000"/>
          <w:sz w:val="24"/>
          <w:szCs w:val="24"/>
          <w:lang w:eastAsia="en-GB"/>
        </w:rPr>
        <w:t xml:space="preserve">students </w:t>
      </w:r>
      <w:r w:rsidR="004B2F3C">
        <w:rPr>
          <w:rFonts w:eastAsia="Times New Roman" w:cs="Arial"/>
          <w:color w:val="000000"/>
          <w:sz w:val="24"/>
          <w:szCs w:val="24"/>
          <w:lang w:eastAsia="en-GB"/>
        </w:rPr>
        <w:t xml:space="preserve">with extenuation claims </w:t>
      </w:r>
      <w:r w:rsidRPr="00250011">
        <w:rPr>
          <w:rFonts w:eastAsia="Times New Roman" w:cs="Arial"/>
          <w:color w:val="000000"/>
          <w:sz w:val="24"/>
          <w:szCs w:val="24"/>
          <w:lang w:eastAsia="en-GB"/>
        </w:rPr>
        <w:t>was much higher than the proportion of</w:t>
      </w:r>
      <w:r w:rsidR="00205BEE">
        <w:rPr>
          <w:rFonts w:eastAsia="Times New Roman" w:cs="Arial"/>
          <w:color w:val="000000"/>
          <w:sz w:val="24"/>
          <w:szCs w:val="24"/>
          <w:lang w:eastAsia="en-GB"/>
        </w:rPr>
        <w:t xml:space="preserve"> the</w:t>
      </w:r>
      <w:r w:rsidRPr="00250011">
        <w:rPr>
          <w:rFonts w:eastAsia="Times New Roman" w:cs="Arial"/>
          <w:color w:val="000000"/>
          <w:sz w:val="24"/>
          <w:szCs w:val="24"/>
          <w:lang w:eastAsia="en-GB"/>
        </w:rPr>
        <w:t xml:space="preserve"> black student</w:t>
      </w:r>
      <w:r w:rsidR="004B2F3C">
        <w:rPr>
          <w:rFonts w:eastAsia="Times New Roman" w:cs="Arial"/>
          <w:color w:val="000000"/>
          <w:sz w:val="24"/>
          <w:szCs w:val="24"/>
          <w:lang w:eastAsia="en-GB"/>
        </w:rPr>
        <w:t>s</w:t>
      </w:r>
      <w:r w:rsidR="00205BEE">
        <w:rPr>
          <w:rFonts w:eastAsia="Times New Roman" w:cs="Arial"/>
          <w:color w:val="000000"/>
          <w:sz w:val="24"/>
          <w:szCs w:val="24"/>
          <w:lang w:eastAsia="en-GB"/>
        </w:rPr>
        <w:t xml:space="preserve"> </w:t>
      </w:r>
      <w:r w:rsidRPr="00250011">
        <w:rPr>
          <w:rFonts w:eastAsia="Times New Roman" w:cs="Arial"/>
          <w:color w:val="000000"/>
          <w:sz w:val="24"/>
          <w:szCs w:val="24"/>
          <w:lang w:eastAsia="en-GB"/>
        </w:rPr>
        <w:t>at UEL</w:t>
      </w:r>
      <w:r w:rsidR="00205BEE">
        <w:rPr>
          <w:rFonts w:eastAsia="Times New Roman" w:cs="Arial"/>
          <w:color w:val="000000"/>
          <w:sz w:val="24"/>
          <w:szCs w:val="24"/>
          <w:lang w:eastAsia="en-GB"/>
        </w:rPr>
        <w:t>.</w:t>
      </w:r>
      <w:r w:rsidR="00135B97">
        <w:rPr>
          <w:rFonts w:eastAsia="Times New Roman" w:cs="Arial"/>
          <w:color w:val="000000"/>
          <w:sz w:val="24"/>
          <w:szCs w:val="24"/>
          <w:lang w:eastAsia="en-GB"/>
        </w:rPr>
        <w:t xml:space="preserve"> </w:t>
      </w:r>
      <w:r w:rsidR="00D93714">
        <w:rPr>
          <w:rFonts w:eastAsia="Times New Roman" w:cs="Arial"/>
          <w:color w:val="000000"/>
          <w:sz w:val="24"/>
          <w:szCs w:val="24"/>
          <w:lang w:eastAsia="en-GB"/>
        </w:rPr>
        <w:t>Similar patterns are reflected in previous analyses. These are illustrated in charts 6b and c below.</w:t>
      </w:r>
      <w:r w:rsidR="00EC50A2">
        <w:rPr>
          <w:rFonts w:eastAsia="Times New Roman" w:cs="Arial"/>
          <w:color w:val="000000"/>
          <w:sz w:val="24"/>
          <w:szCs w:val="24"/>
          <w:lang w:eastAsia="en-GB"/>
        </w:rPr>
        <w:t xml:space="preserve"> </w:t>
      </w:r>
    </w:p>
    <w:p w:rsidR="00135B97" w:rsidRDefault="00135B97" w:rsidP="00135B97">
      <w:pPr>
        <w:ind w:left="709"/>
        <w:jc w:val="both"/>
        <w:rPr>
          <w:rFonts w:eastAsia="Times New Roman" w:cs="Arial"/>
          <w:color w:val="000000"/>
          <w:sz w:val="24"/>
          <w:szCs w:val="24"/>
          <w:lang w:eastAsia="en-GB"/>
        </w:rPr>
      </w:pPr>
    </w:p>
    <w:p w:rsidR="00135B97" w:rsidRDefault="00D93714" w:rsidP="00135B97">
      <w:pPr>
        <w:ind w:left="709"/>
        <w:jc w:val="both"/>
        <w:rPr>
          <w:b/>
          <w:sz w:val="24"/>
          <w:szCs w:val="24"/>
        </w:rPr>
      </w:pPr>
      <w:r w:rsidRPr="00D93714">
        <w:rPr>
          <w:rFonts w:eastAsia="Times New Roman" w:cs="Arial"/>
          <w:noProof/>
          <w:color w:val="000000"/>
          <w:sz w:val="24"/>
          <w:szCs w:val="24"/>
          <w:lang w:eastAsia="en-GB"/>
        </w:rPr>
        <w:lastRenderedPageBreak/>
        <w:drawing>
          <wp:inline distT="0" distB="0" distL="0" distR="0">
            <wp:extent cx="5008227" cy="3347207"/>
            <wp:effectExtent l="0" t="0" r="0" b="0"/>
            <wp:docPr id="14"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sidRPr="00D93714">
        <w:rPr>
          <w:rFonts w:eastAsia="Times New Roman" w:cs="Arial"/>
          <w:b/>
          <w:color w:val="000000"/>
          <w:sz w:val="24"/>
          <w:szCs w:val="24"/>
          <w:lang w:eastAsia="en-GB"/>
        </w:rPr>
        <w:t xml:space="preserve">Chart 6b – </w:t>
      </w:r>
      <w:r w:rsidR="00135B97">
        <w:rPr>
          <w:b/>
          <w:sz w:val="24"/>
          <w:szCs w:val="24"/>
        </w:rPr>
        <w:t>Proportion of students with extenuation claims and the UEL population by ethnicity – 2011/12</w:t>
      </w:r>
    </w:p>
    <w:p w:rsidR="008D4EA1" w:rsidRDefault="00D93714" w:rsidP="00135B97">
      <w:pPr>
        <w:ind w:left="709"/>
        <w:jc w:val="both"/>
        <w:rPr>
          <w:rFonts w:eastAsia="Times New Roman" w:cs="Arial"/>
          <w:color w:val="000000"/>
          <w:sz w:val="24"/>
          <w:szCs w:val="24"/>
          <w:lang w:eastAsia="en-GB"/>
        </w:rPr>
      </w:pPr>
      <w:r w:rsidRPr="00D93714">
        <w:rPr>
          <w:rFonts w:eastAsia="Times New Roman" w:cs="Arial"/>
          <w:noProof/>
          <w:color w:val="000000"/>
          <w:sz w:val="24"/>
          <w:szCs w:val="24"/>
          <w:lang w:eastAsia="en-GB"/>
        </w:rPr>
        <w:drawing>
          <wp:inline distT="0" distB="0" distL="0" distR="0">
            <wp:extent cx="5100506" cy="3565321"/>
            <wp:effectExtent l="0" t="0" r="0" b="0"/>
            <wp:docPr id="15"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EC50A2" w:rsidRPr="00D93714" w:rsidRDefault="00EC50A2" w:rsidP="00135B97">
      <w:pPr>
        <w:ind w:left="709"/>
        <w:jc w:val="both"/>
        <w:rPr>
          <w:rFonts w:eastAsia="Times New Roman" w:cs="Arial"/>
          <w:b/>
          <w:color w:val="000000"/>
          <w:sz w:val="24"/>
          <w:szCs w:val="24"/>
          <w:lang w:eastAsia="en-GB"/>
        </w:rPr>
      </w:pPr>
      <w:r w:rsidRPr="00D93714">
        <w:rPr>
          <w:rFonts w:eastAsia="Times New Roman" w:cs="Arial"/>
          <w:b/>
          <w:color w:val="000000"/>
          <w:sz w:val="24"/>
          <w:szCs w:val="24"/>
          <w:lang w:eastAsia="en-GB"/>
        </w:rPr>
        <w:t>Chart 6</w:t>
      </w:r>
      <w:r>
        <w:rPr>
          <w:rFonts w:eastAsia="Times New Roman" w:cs="Arial"/>
          <w:b/>
          <w:color w:val="000000"/>
          <w:sz w:val="24"/>
          <w:szCs w:val="24"/>
          <w:lang w:eastAsia="en-GB"/>
        </w:rPr>
        <w:t>c</w:t>
      </w:r>
      <w:r w:rsidRPr="00D93714">
        <w:rPr>
          <w:rFonts w:eastAsia="Times New Roman" w:cs="Arial"/>
          <w:b/>
          <w:color w:val="000000"/>
          <w:sz w:val="24"/>
          <w:szCs w:val="24"/>
          <w:lang w:eastAsia="en-GB"/>
        </w:rPr>
        <w:t xml:space="preserve"> – </w:t>
      </w:r>
      <w:r w:rsidR="00135B97">
        <w:rPr>
          <w:b/>
          <w:sz w:val="24"/>
          <w:szCs w:val="24"/>
        </w:rPr>
        <w:t>Proportion of students with extenuation claims and the UEL population by ethnicity – 2010/11</w:t>
      </w:r>
    </w:p>
    <w:p w:rsidR="00D93714" w:rsidRDefault="00D93714" w:rsidP="008D4EA1">
      <w:pPr>
        <w:ind w:left="709"/>
        <w:jc w:val="both"/>
        <w:rPr>
          <w:rFonts w:eastAsia="Times New Roman" w:cs="Arial"/>
          <w:color w:val="000000"/>
          <w:sz w:val="24"/>
          <w:szCs w:val="24"/>
          <w:lang w:eastAsia="en-GB"/>
        </w:rPr>
      </w:pPr>
    </w:p>
    <w:p w:rsidR="001D48E3" w:rsidRDefault="001D48E3" w:rsidP="008D4EA1">
      <w:pPr>
        <w:ind w:left="709"/>
        <w:jc w:val="both"/>
        <w:rPr>
          <w:rFonts w:eastAsia="Times New Roman" w:cs="Arial"/>
          <w:color w:val="000000"/>
          <w:sz w:val="24"/>
          <w:szCs w:val="24"/>
          <w:lang w:eastAsia="en-GB"/>
        </w:rPr>
      </w:pPr>
    </w:p>
    <w:p w:rsidR="001D48E3" w:rsidRDefault="001D48E3" w:rsidP="008D4EA1">
      <w:pPr>
        <w:ind w:left="709"/>
        <w:jc w:val="both"/>
        <w:rPr>
          <w:rFonts w:eastAsia="Times New Roman" w:cs="Arial"/>
          <w:color w:val="000000"/>
          <w:sz w:val="24"/>
          <w:szCs w:val="24"/>
          <w:lang w:eastAsia="en-GB"/>
        </w:rPr>
      </w:pPr>
    </w:p>
    <w:p w:rsidR="0094084A" w:rsidRDefault="0094084A" w:rsidP="00744034">
      <w:pPr>
        <w:pStyle w:val="ListParagraph"/>
        <w:numPr>
          <w:ilvl w:val="1"/>
          <w:numId w:val="7"/>
        </w:numPr>
        <w:rPr>
          <w:b/>
          <w:sz w:val="24"/>
          <w:szCs w:val="24"/>
        </w:rPr>
      </w:pPr>
      <w:r w:rsidRPr="00744034">
        <w:rPr>
          <w:b/>
          <w:sz w:val="24"/>
          <w:szCs w:val="24"/>
        </w:rPr>
        <w:lastRenderedPageBreak/>
        <w:t>Disability</w:t>
      </w:r>
      <w:r w:rsidR="00F93C29" w:rsidRPr="00F93C29">
        <w:rPr>
          <w:noProof/>
          <w:lang w:eastAsia="en-GB"/>
        </w:rPr>
        <w:t xml:space="preserve"> </w:t>
      </w:r>
      <w:r w:rsidR="00F93C29" w:rsidRPr="00F93C29">
        <w:rPr>
          <w:b/>
          <w:noProof/>
          <w:sz w:val="24"/>
          <w:szCs w:val="24"/>
          <w:lang w:eastAsia="en-GB"/>
        </w:rPr>
        <w:drawing>
          <wp:inline distT="0" distB="0" distL="0" distR="0">
            <wp:extent cx="5731510" cy="3623221"/>
            <wp:effectExtent l="0" t="0" r="0" b="0"/>
            <wp:docPr id="2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927092" w:rsidRDefault="00010892" w:rsidP="00010892">
      <w:pPr>
        <w:ind w:left="709"/>
        <w:jc w:val="both"/>
        <w:rPr>
          <w:sz w:val="24"/>
          <w:szCs w:val="24"/>
          <w:highlight w:val="yellow"/>
        </w:rPr>
      </w:pPr>
      <w:r w:rsidRPr="00D93714">
        <w:rPr>
          <w:rFonts w:eastAsia="Times New Roman" w:cs="Arial"/>
          <w:b/>
          <w:color w:val="000000"/>
          <w:sz w:val="24"/>
          <w:szCs w:val="24"/>
          <w:lang w:eastAsia="en-GB"/>
        </w:rPr>
        <w:t xml:space="preserve">Chart </w:t>
      </w:r>
      <w:r>
        <w:rPr>
          <w:rFonts w:eastAsia="Times New Roman" w:cs="Arial"/>
          <w:b/>
          <w:color w:val="000000"/>
          <w:sz w:val="24"/>
          <w:szCs w:val="24"/>
          <w:lang w:eastAsia="en-GB"/>
        </w:rPr>
        <w:t>7a</w:t>
      </w:r>
      <w:r w:rsidRPr="00D93714">
        <w:rPr>
          <w:rFonts w:eastAsia="Times New Roman" w:cs="Arial"/>
          <w:b/>
          <w:color w:val="000000"/>
          <w:sz w:val="24"/>
          <w:szCs w:val="24"/>
          <w:lang w:eastAsia="en-GB"/>
        </w:rPr>
        <w:t xml:space="preserve"> – </w:t>
      </w:r>
      <w:r>
        <w:rPr>
          <w:b/>
          <w:sz w:val="24"/>
          <w:szCs w:val="24"/>
        </w:rPr>
        <w:t xml:space="preserve">Proportion of students with extenuation claims and the UEL population by </w:t>
      </w:r>
      <w:proofErr w:type="gramStart"/>
      <w:r>
        <w:rPr>
          <w:b/>
          <w:sz w:val="24"/>
          <w:szCs w:val="24"/>
        </w:rPr>
        <w:t xml:space="preserve">disability  </w:t>
      </w:r>
      <w:r w:rsidR="00F93C29">
        <w:rPr>
          <w:b/>
          <w:sz w:val="24"/>
          <w:szCs w:val="24"/>
        </w:rPr>
        <w:t>-</w:t>
      </w:r>
      <w:proofErr w:type="gramEnd"/>
      <w:r w:rsidR="00F93C29">
        <w:rPr>
          <w:b/>
          <w:sz w:val="24"/>
          <w:szCs w:val="24"/>
        </w:rPr>
        <w:t xml:space="preserve"> 2012/13</w:t>
      </w:r>
    </w:p>
    <w:p w:rsidR="00927092" w:rsidRPr="00592A34" w:rsidRDefault="00592A34" w:rsidP="00592A34">
      <w:pPr>
        <w:spacing w:after="0"/>
        <w:ind w:firstLine="709"/>
        <w:rPr>
          <w:sz w:val="24"/>
          <w:szCs w:val="24"/>
        </w:rPr>
      </w:pPr>
      <w:r>
        <w:rPr>
          <w:sz w:val="24"/>
          <w:szCs w:val="24"/>
        </w:rPr>
        <w:t>*</w:t>
      </w:r>
      <w:r w:rsidRPr="00592A34">
        <w:rPr>
          <w:sz w:val="24"/>
          <w:szCs w:val="24"/>
        </w:rPr>
        <w:t>Excludes where information was not so</w:t>
      </w:r>
      <w:r w:rsidR="00744034">
        <w:rPr>
          <w:sz w:val="24"/>
          <w:szCs w:val="24"/>
        </w:rPr>
        <w:t>ught</w:t>
      </w:r>
    </w:p>
    <w:p w:rsidR="00592A34" w:rsidRPr="00592A34" w:rsidRDefault="00592A34" w:rsidP="00A23975">
      <w:pPr>
        <w:spacing w:after="0"/>
        <w:ind w:left="709"/>
        <w:rPr>
          <w:sz w:val="24"/>
          <w:szCs w:val="24"/>
        </w:rPr>
      </w:pPr>
    </w:p>
    <w:p w:rsidR="001D48E3" w:rsidRDefault="001D48E3" w:rsidP="008D4EA1">
      <w:pPr>
        <w:spacing w:after="0"/>
        <w:ind w:left="709"/>
        <w:jc w:val="both"/>
        <w:rPr>
          <w:sz w:val="24"/>
          <w:szCs w:val="24"/>
        </w:rPr>
      </w:pPr>
    </w:p>
    <w:p w:rsidR="006D2F98" w:rsidRDefault="00927092" w:rsidP="008D4EA1">
      <w:pPr>
        <w:spacing w:after="0"/>
        <w:ind w:left="709"/>
        <w:jc w:val="both"/>
        <w:rPr>
          <w:sz w:val="24"/>
          <w:szCs w:val="24"/>
        </w:rPr>
      </w:pPr>
      <w:r w:rsidRPr="00927092">
        <w:rPr>
          <w:sz w:val="24"/>
          <w:szCs w:val="24"/>
        </w:rPr>
        <w:t xml:space="preserve">Chart </w:t>
      </w:r>
      <w:r>
        <w:rPr>
          <w:sz w:val="24"/>
          <w:szCs w:val="24"/>
        </w:rPr>
        <w:t>7</w:t>
      </w:r>
      <w:r w:rsidR="00EC50A2">
        <w:rPr>
          <w:sz w:val="24"/>
          <w:szCs w:val="24"/>
        </w:rPr>
        <w:t>a above,</w:t>
      </w:r>
      <w:r w:rsidRPr="00927092">
        <w:rPr>
          <w:sz w:val="24"/>
          <w:szCs w:val="24"/>
        </w:rPr>
        <w:t xml:space="preserve"> compares the proportion of students </w:t>
      </w:r>
      <w:r w:rsidR="00911292">
        <w:rPr>
          <w:sz w:val="24"/>
          <w:szCs w:val="24"/>
        </w:rPr>
        <w:t>who</w:t>
      </w:r>
      <w:r w:rsidRPr="00927092">
        <w:rPr>
          <w:sz w:val="24"/>
          <w:szCs w:val="24"/>
        </w:rPr>
        <w:t xml:space="preserve"> applied for extenuation and the UEL population by disability category</w:t>
      </w:r>
      <w:r w:rsidR="00EC50A2">
        <w:rPr>
          <w:sz w:val="24"/>
          <w:szCs w:val="24"/>
        </w:rPr>
        <w:t xml:space="preserve"> in 2012/13</w:t>
      </w:r>
      <w:r w:rsidRPr="00927092">
        <w:rPr>
          <w:sz w:val="24"/>
          <w:szCs w:val="24"/>
        </w:rPr>
        <w:t>.</w:t>
      </w:r>
      <w:r w:rsidR="00911292">
        <w:rPr>
          <w:sz w:val="24"/>
          <w:szCs w:val="24"/>
        </w:rPr>
        <w:t xml:space="preserve"> </w:t>
      </w:r>
      <w:r w:rsidRPr="00927092">
        <w:rPr>
          <w:sz w:val="24"/>
          <w:szCs w:val="24"/>
        </w:rPr>
        <w:t>The proportion of extenuations by students with a disability was higher than the proportion of disabled students at UEL.</w:t>
      </w:r>
    </w:p>
    <w:p w:rsidR="00927092" w:rsidRDefault="00927092" w:rsidP="008D4EA1">
      <w:pPr>
        <w:spacing w:after="0"/>
        <w:ind w:left="709"/>
        <w:jc w:val="both"/>
      </w:pPr>
    </w:p>
    <w:p w:rsidR="006D2F98" w:rsidRDefault="00927092" w:rsidP="008D4EA1">
      <w:pPr>
        <w:ind w:left="709"/>
        <w:jc w:val="both"/>
        <w:rPr>
          <w:sz w:val="24"/>
          <w:szCs w:val="24"/>
        </w:rPr>
      </w:pPr>
      <w:r>
        <w:rPr>
          <w:sz w:val="24"/>
          <w:szCs w:val="24"/>
        </w:rPr>
        <w:t>S</w:t>
      </w:r>
      <w:r w:rsidR="005A41DA" w:rsidRPr="001465B3">
        <w:rPr>
          <w:sz w:val="24"/>
          <w:szCs w:val="24"/>
        </w:rPr>
        <w:t xml:space="preserve">tudents with a declared disability were more likely to apply for extenuation </w:t>
      </w:r>
      <w:r w:rsidR="00010892">
        <w:rPr>
          <w:sz w:val="24"/>
          <w:szCs w:val="24"/>
        </w:rPr>
        <w:t>by 3 percentage points, whilst students with a disability excluding learning disability were more likely to apply for extenuation by 11 percentage points.</w:t>
      </w:r>
    </w:p>
    <w:p w:rsidR="00592A34" w:rsidRPr="001465B3" w:rsidRDefault="00592A34" w:rsidP="008D4EA1">
      <w:pPr>
        <w:ind w:left="709"/>
        <w:jc w:val="both"/>
        <w:rPr>
          <w:sz w:val="24"/>
          <w:szCs w:val="24"/>
        </w:rPr>
      </w:pPr>
      <w:r>
        <w:rPr>
          <w:sz w:val="24"/>
          <w:szCs w:val="24"/>
        </w:rPr>
        <w:t xml:space="preserve">Of the students with a known disability </w:t>
      </w:r>
      <w:r w:rsidR="00205BEE">
        <w:rPr>
          <w:sz w:val="24"/>
          <w:szCs w:val="24"/>
        </w:rPr>
        <w:t>31</w:t>
      </w:r>
      <w:r>
        <w:rPr>
          <w:sz w:val="24"/>
          <w:szCs w:val="24"/>
        </w:rPr>
        <w:t>% had</w:t>
      </w:r>
      <w:r w:rsidR="00205BEE">
        <w:rPr>
          <w:sz w:val="24"/>
          <w:szCs w:val="24"/>
        </w:rPr>
        <w:t xml:space="preserve"> either</w:t>
      </w:r>
      <w:r>
        <w:rPr>
          <w:sz w:val="24"/>
          <w:szCs w:val="24"/>
        </w:rPr>
        <w:t xml:space="preserve"> made appointments to see</w:t>
      </w:r>
      <w:r w:rsidR="00205BEE">
        <w:rPr>
          <w:sz w:val="24"/>
          <w:szCs w:val="24"/>
        </w:rPr>
        <w:t>,</w:t>
      </w:r>
      <w:r>
        <w:rPr>
          <w:sz w:val="24"/>
          <w:szCs w:val="24"/>
        </w:rPr>
        <w:t xml:space="preserve"> or where known to</w:t>
      </w:r>
      <w:r w:rsidR="00205BEE">
        <w:rPr>
          <w:sz w:val="24"/>
          <w:szCs w:val="24"/>
        </w:rPr>
        <w:t>,</w:t>
      </w:r>
      <w:r>
        <w:rPr>
          <w:sz w:val="24"/>
          <w:szCs w:val="24"/>
        </w:rPr>
        <w:t xml:space="preserve"> staff in student life services.</w:t>
      </w:r>
    </w:p>
    <w:p w:rsidR="00EC50A2" w:rsidRDefault="00EC50A2" w:rsidP="008D4EA1">
      <w:pPr>
        <w:ind w:left="709"/>
        <w:jc w:val="both"/>
        <w:rPr>
          <w:sz w:val="24"/>
          <w:szCs w:val="24"/>
        </w:rPr>
      </w:pPr>
      <w:r>
        <w:rPr>
          <w:sz w:val="24"/>
          <w:szCs w:val="24"/>
        </w:rPr>
        <w:t>The extenuation patterns for disability are in-line with previous years and illustrated in charts 7b and c below.</w:t>
      </w:r>
    </w:p>
    <w:p w:rsidR="00EC50A2" w:rsidRDefault="00EC50A2" w:rsidP="008D4EA1">
      <w:pPr>
        <w:ind w:left="709"/>
        <w:jc w:val="both"/>
        <w:rPr>
          <w:sz w:val="24"/>
          <w:szCs w:val="24"/>
        </w:rPr>
      </w:pPr>
    </w:p>
    <w:p w:rsidR="00EC50A2" w:rsidRDefault="00EC50A2" w:rsidP="008D4EA1">
      <w:pPr>
        <w:ind w:left="709"/>
        <w:jc w:val="both"/>
        <w:rPr>
          <w:sz w:val="24"/>
          <w:szCs w:val="24"/>
        </w:rPr>
      </w:pPr>
      <w:r w:rsidRPr="00EC50A2">
        <w:rPr>
          <w:noProof/>
          <w:sz w:val="24"/>
          <w:szCs w:val="24"/>
          <w:lang w:eastAsia="en-GB"/>
        </w:rPr>
        <w:lastRenderedPageBreak/>
        <w:drawing>
          <wp:inline distT="0" distB="0" distL="0" distR="0">
            <wp:extent cx="5731510" cy="2527743"/>
            <wp:effectExtent l="0" t="0" r="0" b="0"/>
            <wp:docPr id="1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EC50A2" w:rsidRDefault="00EC50A2" w:rsidP="00010892">
      <w:pPr>
        <w:ind w:left="1744"/>
        <w:jc w:val="both"/>
        <w:rPr>
          <w:b/>
          <w:sz w:val="24"/>
          <w:szCs w:val="24"/>
        </w:rPr>
      </w:pPr>
      <w:r w:rsidRPr="00EC50A2">
        <w:rPr>
          <w:b/>
          <w:sz w:val="24"/>
          <w:szCs w:val="24"/>
        </w:rPr>
        <w:t xml:space="preserve">Chart 7b – </w:t>
      </w:r>
      <w:r w:rsidR="00010892">
        <w:rPr>
          <w:b/>
          <w:sz w:val="24"/>
          <w:szCs w:val="24"/>
        </w:rPr>
        <w:t>Proportion of students with extenuation claims and the UEL population by disability – 2011/12</w:t>
      </w:r>
    </w:p>
    <w:p w:rsidR="00EC50A2" w:rsidRDefault="00EC50A2" w:rsidP="008D4EA1">
      <w:pPr>
        <w:ind w:left="709"/>
        <w:jc w:val="both"/>
        <w:rPr>
          <w:b/>
          <w:sz w:val="24"/>
          <w:szCs w:val="24"/>
        </w:rPr>
      </w:pPr>
    </w:p>
    <w:p w:rsidR="00EC50A2" w:rsidRDefault="00EC50A2" w:rsidP="008D4EA1">
      <w:pPr>
        <w:ind w:left="709"/>
        <w:jc w:val="both"/>
        <w:rPr>
          <w:b/>
          <w:sz w:val="24"/>
          <w:szCs w:val="24"/>
        </w:rPr>
      </w:pPr>
      <w:r w:rsidRPr="00EC50A2">
        <w:rPr>
          <w:b/>
          <w:noProof/>
          <w:sz w:val="24"/>
          <w:szCs w:val="24"/>
          <w:lang w:eastAsia="en-GB"/>
        </w:rPr>
        <w:drawing>
          <wp:inline distT="0" distB="0" distL="0" distR="0">
            <wp:extent cx="5729680" cy="2525086"/>
            <wp:effectExtent l="0" t="0" r="0" b="0"/>
            <wp:docPr id="20" name="Chart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EC50A2" w:rsidRDefault="00EC50A2" w:rsidP="00010892">
      <w:pPr>
        <w:ind w:left="2160" w:firstLine="49"/>
        <w:jc w:val="both"/>
        <w:rPr>
          <w:b/>
          <w:sz w:val="24"/>
          <w:szCs w:val="24"/>
        </w:rPr>
      </w:pPr>
      <w:r w:rsidRPr="00EC50A2">
        <w:rPr>
          <w:b/>
          <w:sz w:val="24"/>
          <w:szCs w:val="24"/>
        </w:rPr>
        <w:t>Chart 7</w:t>
      </w:r>
      <w:r>
        <w:rPr>
          <w:b/>
          <w:sz w:val="24"/>
          <w:szCs w:val="24"/>
        </w:rPr>
        <w:t>c</w:t>
      </w:r>
      <w:r w:rsidRPr="00EC50A2">
        <w:rPr>
          <w:b/>
          <w:sz w:val="24"/>
          <w:szCs w:val="24"/>
        </w:rPr>
        <w:t xml:space="preserve"> – </w:t>
      </w:r>
      <w:r w:rsidR="00010892">
        <w:rPr>
          <w:b/>
          <w:sz w:val="24"/>
          <w:szCs w:val="24"/>
        </w:rPr>
        <w:t>Proportion of students with extenuation claims and the UEL population by disability -</w:t>
      </w:r>
      <w:r w:rsidR="00010892" w:rsidRPr="00EC50A2">
        <w:rPr>
          <w:b/>
          <w:sz w:val="24"/>
          <w:szCs w:val="24"/>
        </w:rPr>
        <w:t xml:space="preserve"> </w:t>
      </w:r>
      <w:r w:rsidRPr="00EC50A2">
        <w:rPr>
          <w:b/>
          <w:sz w:val="24"/>
          <w:szCs w:val="24"/>
        </w:rPr>
        <w:t>201</w:t>
      </w:r>
      <w:r>
        <w:rPr>
          <w:b/>
          <w:sz w:val="24"/>
          <w:szCs w:val="24"/>
        </w:rPr>
        <w:t>0</w:t>
      </w:r>
      <w:r w:rsidRPr="00EC50A2">
        <w:rPr>
          <w:b/>
          <w:sz w:val="24"/>
          <w:szCs w:val="24"/>
        </w:rPr>
        <w:t>/1</w:t>
      </w:r>
      <w:r>
        <w:rPr>
          <w:b/>
          <w:sz w:val="24"/>
          <w:szCs w:val="24"/>
        </w:rPr>
        <w:t>1</w:t>
      </w:r>
    </w:p>
    <w:p w:rsidR="00EC50A2" w:rsidRDefault="00EC50A2" w:rsidP="008D4EA1">
      <w:pPr>
        <w:ind w:left="709"/>
        <w:jc w:val="both"/>
        <w:rPr>
          <w:b/>
          <w:sz w:val="24"/>
          <w:szCs w:val="24"/>
        </w:rPr>
      </w:pPr>
    </w:p>
    <w:p w:rsidR="005112D6" w:rsidRPr="004152FA" w:rsidRDefault="005112D6" w:rsidP="008D4EA1">
      <w:pPr>
        <w:pStyle w:val="ListParagraph"/>
        <w:numPr>
          <w:ilvl w:val="0"/>
          <w:numId w:val="1"/>
        </w:numPr>
        <w:ind w:left="0" w:firstLine="0"/>
        <w:jc w:val="both"/>
        <w:rPr>
          <w:b/>
          <w:sz w:val="24"/>
          <w:szCs w:val="24"/>
        </w:rPr>
      </w:pPr>
      <w:r w:rsidRPr="004152FA">
        <w:rPr>
          <w:b/>
          <w:sz w:val="24"/>
          <w:szCs w:val="24"/>
        </w:rPr>
        <w:t>Conclusions</w:t>
      </w:r>
    </w:p>
    <w:p w:rsidR="008E49E4" w:rsidRPr="004152FA" w:rsidRDefault="008E49E4" w:rsidP="008D4EA1">
      <w:pPr>
        <w:pStyle w:val="ListParagraph"/>
        <w:ind w:left="0"/>
        <w:jc w:val="both"/>
        <w:rPr>
          <w:sz w:val="24"/>
          <w:szCs w:val="24"/>
        </w:rPr>
      </w:pPr>
    </w:p>
    <w:p w:rsidR="004152FA" w:rsidRDefault="00911292" w:rsidP="008D4EA1">
      <w:pPr>
        <w:pStyle w:val="ListParagraph"/>
        <w:ind w:left="567" w:hanging="567"/>
        <w:jc w:val="both"/>
        <w:rPr>
          <w:sz w:val="24"/>
          <w:szCs w:val="24"/>
        </w:rPr>
      </w:pPr>
      <w:r w:rsidRPr="004152FA">
        <w:rPr>
          <w:sz w:val="24"/>
          <w:szCs w:val="24"/>
        </w:rPr>
        <w:t>6.</w:t>
      </w:r>
      <w:r w:rsidR="00010892">
        <w:rPr>
          <w:sz w:val="24"/>
          <w:szCs w:val="24"/>
        </w:rPr>
        <w:t>1</w:t>
      </w:r>
      <w:r w:rsidRPr="004152FA">
        <w:rPr>
          <w:sz w:val="24"/>
          <w:szCs w:val="24"/>
        </w:rPr>
        <w:tab/>
        <w:t>Despite the fall in overall extenuation claims</w:t>
      </w:r>
      <w:r w:rsidR="00E23825">
        <w:rPr>
          <w:sz w:val="24"/>
          <w:szCs w:val="24"/>
        </w:rPr>
        <w:t xml:space="preserve"> for 2012-13</w:t>
      </w:r>
      <w:r w:rsidRPr="004152FA">
        <w:rPr>
          <w:sz w:val="24"/>
          <w:szCs w:val="24"/>
        </w:rPr>
        <w:t xml:space="preserve">, the panel noted some important concerns and are working to revise policies in-line with assessment practices. These include a revision of the maternity policy (which has been adopted and approved) and the implementation of a “fit to sit” policy aligned with the new academic framework. </w:t>
      </w:r>
    </w:p>
    <w:p w:rsidR="001D48E3" w:rsidRPr="004152FA" w:rsidRDefault="001D48E3" w:rsidP="008D4EA1">
      <w:pPr>
        <w:pStyle w:val="ListParagraph"/>
        <w:ind w:left="567" w:hanging="567"/>
        <w:jc w:val="both"/>
        <w:rPr>
          <w:sz w:val="24"/>
          <w:szCs w:val="24"/>
        </w:rPr>
      </w:pPr>
    </w:p>
    <w:p w:rsidR="004152FA" w:rsidRDefault="004152FA" w:rsidP="008D4EA1">
      <w:pPr>
        <w:pStyle w:val="ListParagraph"/>
        <w:ind w:left="567" w:hanging="567"/>
        <w:jc w:val="both"/>
        <w:rPr>
          <w:color w:val="FF0000"/>
          <w:sz w:val="24"/>
          <w:szCs w:val="24"/>
        </w:rPr>
      </w:pPr>
    </w:p>
    <w:p w:rsidR="004152FA" w:rsidRDefault="004152FA" w:rsidP="008D4EA1">
      <w:pPr>
        <w:pStyle w:val="ListParagraph"/>
        <w:ind w:left="567" w:hanging="567"/>
        <w:jc w:val="both"/>
        <w:rPr>
          <w:sz w:val="24"/>
          <w:szCs w:val="24"/>
        </w:rPr>
      </w:pPr>
    </w:p>
    <w:p w:rsidR="00241EF2" w:rsidRPr="004152FA" w:rsidRDefault="00241EF2" w:rsidP="008D4EA1">
      <w:pPr>
        <w:pStyle w:val="ListParagraph"/>
        <w:ind w:left="567" w:hanging="567"/>
        <w:jc w:val="both"/>
        <w:rPr>
          <w:b/>
          <w:sz w:val="24"/>
          <w:szCs w:val="24"/>
        </w:rPr>
      </w:pPr>
      <w:r w:rsidRPr="004152FA">
        <w:rPr>
          <w:b/>
          <w:sz w:val="24"/>
          <w:szCs w:val="24"/>
        </w:rPr>
        <w:t>7.</w:t>
      </w:r>
      <w:r w:rsidRPr="00592A34">
        <w:rPr>
          <w:b/>
          <w:color w:val="FF0000"/>
          <w:sz w:val="24"/>
          <w:szCs w:val="24"/>
        </w:rPr>
        <w:t xml:space="preserve"> </w:t>
      </w:r>
      <w:r w:rsidRPr="00592A34">
        <w:rPr>
          <w:b/>
          <w:color w:val="FF0000"/>
          <w:sz w:val="24"/>
          <w:szCs w:val="24"/>
        </w:rPr>
        <w:tab/>
      </w:r>
      <w:r w:rsidRPr="004152FA">
        <w:rPr>
          <w:b/>
          <w:sz w:val="24"/>
          <w:szCs w:val="24"/>
        </w:rPr>
        <w:t>Recommendation</w:t>
      </w:r>
      <w:r w:rsidR="001D48E3">
        <w:rPr>
          <w:b/>
          <w:sz w:val="24"/>
          <w:szCs w:val="24"/>
        </w:rPr>
        <w:t>s</w:t>
      </w:r>
    </w:p>
    <w:p w:rsidR="00241EF2" w:rsidRPr="004152FA" w:rsidRDefault="00241EF2" w:rsidP="008D4EA1">
      <w:pPr>
        <w:pStyle w:val="ListParagraph"/>
        <w:ind w:left="567" w:hanging="567"/>
        <w:jc w:val="both"/>
        <w:rPr>
          <w:sz w:val="24"/>
          <w:szCs w:val="24"/>
        </w:rPr>
      </w:pPr>
    </w:p>
    <w:p w:rsidR="001D48E3" w:rsidRDefault="00241EF2" w:rsidP="0088636A">
      <w:pPr>
        <w:pStyle w:val="ListParagraph"/>
        <w:ind w:left="567" w:hanging="567"/>
        <w:jc w:val="both"/>
        <w:rPr>
          <w:sz w:val="24"/>
          <w:szCs w:val="24"/>
        </w:rPr>
      </w:pPr>
      <w:r w:rsidRPr="004152FA">
        <w:rPr>
          <w:sz w:val="24"/>
          <w:szCs w:val="24"/>
        </w:rPr>
        <w:t>7.1</w:t>
      </w:r>
      <w:r w:rsidR="00010892">
        <w:rPr>
          <w:sz w:val="24"/>
          <w:szCs w:val="24"/>
        </w:rPr>
        <w:tab/>
        <w:t xml:space="preserve">It is recommended that future reports capture the </w:t>
      </w:r>
      <w:r w:rsidR="001D48E3">
        <w:rPr>
          <w:sz w:val="24"/>
          <w:szCs w:val="24"/>
        </w:rPr>
        <w:t>discrepancies</w:t>
      </w:r>
      <w:r w:rsidR="00010892">
        <w:rPr>
          <w:sz w:val="24"/>
          <w:szCs w:val="24"/>
        </w:rPr>
        <w:t xml:space="preserve"> in the proportion of students who apply for extenuation against demographic</w:t>
      </w:r>
      <w:r w:rsidR="00EB08D2">
        <w:rPr>
          <w:sz w:val="24"/>
          <w:szCs w:val="24"/>
        </w:rPr>
        <w:t>al</w:t>
      </w:r>
      <w:r w:rsidR="00010892">
        <w:rPr>
          <w:sz w:val="24"/>
          <w:szCs w:val="24"/>
        </w:rPr>
        <w:t xml:space="preserve"> </w:t>
      </w:r>
      <w:r w:rsidR="00EB08D2">
        <w:rPr>
          <w:sz w:val="24"/>
          <w:szCs w:val="24"/>
        </w:rPr>
        <w:t>characteristic</w:t>
      </w:r>
      <w:r w:rsidR="00010892">
        <w:rPr>
          <w:sz w:val="24"/>
          <w:szCs w:val="24"/>
        </w:rPr>
        <w:t>. This will allow for a more robust analysis of extenuation practices</w:t>
      </w:r>
      <w:r w:rsidR="001D48E3">
        <w:rPr>
          <w:sz w:val="24"/>
          <w:szCs w:val="24"/>
        </w:rPr>
        <w:t xml:space="preserve"> at UEL.</w:t>
      </w:r>
    </w:p>
    <w:p w:rsidR="001D48E3" w:rsidRDefault="001D48E3" w:rsidP="0088636A">
      <w:pPr>
        <w:pStyle w:val="ListParagraph"/>
        <w:ind w:left="567" w:hanging="567"/>
        <w:jc w:val="both"/>
        <w:rPr>
          <w:sz w:val="24"/>
          <w:szCs w:val="24"/>
        </w:rPr>
      </w:pPr>
    </w:p>
    <w:p w:rsidR="00EB08D2" w:rsidRDefault="001D48E3" w:rsidP="00EB08D2">
      <w:pPr>
        <w:pStyle w:val="ListParagraph"/>
        <w:ind w:left="567" w:hanging="567"/>
        <w:jc w:val="both"/>
        <w:rPr>
          <w:rFonts w:ascii="Calibri" w:hAnsi="Calibri"/>
        </w:rPr>
      </w:pPr>
      <w:r>
        <w:rPr>
          <w:sz w:val="24"/>
          <w:szCs w:val="24"/>
        </w:rPr>
        <w:t>7.</w:t>
      </w:r>
      <w:r w:rsidR="003F756F">
        <w:rPr>
          <w:sz w:val="24"/>
          <w:szCs w:val="24"/>
        </w:rPr>
        <w:t>2</w:t>
      </w:r>
      <w:r w:rsidR="00241EF2" w:rsidRPr="004152FA">
        <w:rPr>
          <w:sz w:val="24"/>
          <w:szCs w:val="24"/>
        </w:rPr>
        <w:tab/>
      </w:r>
      <w:r w:rsidR="00EB08D2">
        <w:rPr>
          <w:rFonts w:ascii="Calibri" w:hAnsi="Calibri"/>
        </w:rPr>
        <w:t>As part of the Academic Framework review the decision to allow students to submit work up to 24 hours late and receive a 5% deduction in their grade, may mitigate the percentage of claims received.   Often students use the extenuation process as the only means of submitting late work.</w:t>
      </w:r>
    </w:p>
    <w:p w:rsidR="00EB08D2" w:rsidRDefault="00EB08D2" w:rsidP="00EB08D2">
      <w:pPr>
        <w:pStyle w:val="ListParagraph"/>
        <w:ind w:left="567" w:hanging="567"/>
        <w:jc w:val="both"/>
        <w:rPr>
          <w:rFonts w:ascii="Calibri" w:hAnsi="Calibri"/>
        </w:rPr>
      </w:pPr>
    </w:p>
    <w:p w:rsidR="00010892" w:rsidRDefault="00EB08D2" w:rsidP="00EB08D2">
      <w:pPr>
        <w:pStyle w:val="ListParagraph"/>
        <w:ind w:left="567" w:hanging="567"/>
        <w:jc w:val="both"/>
        <w:rPr>
          <w:sz w:val="24"/>
          <w:szCs w:val="24"/>
        </w:rPr>
      </w:pPr>
      <w:r>
        <w:rPr>
          <w:rFonts w:ascii="Calibri" w:hAnsi="Calibri"/>
        </w:rPr>
        <w:t>7.</w:t>
      </w:r>
      <w:r w:rsidR="003F756F">
        <w:rPr>
          <w:rFonts w:ascii="Calibri" w:hAnsi="Calibri"/>
        </w:rPr>
        <w:t>3</w:t>
      </w:r>
      <w:r>
        <w:rPr>
          <w:rFonts w:ascii="Calibri" w:hAnsi="Calibri"/>
        </w:rPr>
        <w:tab/>
        <w:t>It is recommended that a working group be formed to look in more detail at the Extenuating Circumstances Policy to ensure that both the policy and its procedures are fair and impartial.</w:t>
      </w:r>
    </w:p>
    <w:p w:rsidR="004D5000" w:rsidRPr="00592A34" w:rsidRDefault="004D5000">
      <w:pPr>
        <w:rPr>
          <w:color w:val="FF0000"/>
          <w:sz w:val="24"/>
          <w:szCs w:val="24"/>
        </w:rPr>
      </w:pPr>
      <w:r w:rsidRPr="00592A34">
        <w:rPr>
          <w:color w:val="FF0000"/>
          <w:sz w:val="24"/>
          <w:szCs w:val="24"/>
        </w:rPr>
        <w:br w:type="page"/>
      </w:r>
    </w:p>
    <w:p w:rsidR="004D5000" w:rsidRDefault="004D5000" w:rsidP="004D5000"/>
    <w:p w:rsidR="004D5000" w:rsidRDefault="004D5000" w:rsidP="004D5000"/>
    <w:p w:rsidR="005051E4" w:rsidRPr="001465B3" w:rsidRDefault="005051E4" w:rsidP="00AF3757">
      <w:pPr>
        <w:pStyle w:val="ListParagraph"/>
        <w:ind w:left="567" w:hanging="567"/>
        <w:rPr>
          <w:sz w:val="24"/>
          <w:szCs w:val="24"/>
        </w:rPr>
      </w:pPr>
    </w:p>
    <w:sectPr w:rsidR="005051E4" w:rsidRPr="001465B3" w:rsidSect="00B3238B">
      <w:footerReference w:type="default" r:id="rId29"/>
      <w:pgSz w:w="11906" w:h="16838"/>
      <w:pgMar w:top="1247" w:right="1440" w:bottom="124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93C29" w:rsidRDefault="00F93C29" w:rsidP="00180B7E">
      <w:pPr>
        <w:spacing w:after="0" w:line="240" w:lineRule="auto"/>
      </w:pPr>
      <w:r>
        <w:separator/>
      </w:r>
    </w:p>
  </w:endnote>
  <w:endnote w:type="continuationSeparator" w:id="0">
    <w:p w:rsidR="00F93C29" w:rsidRDefault="00F93C29" w:rsidP="00180B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8407"/>
      <w:docPartObj>
        <w:docPartGallery w:val="Page Numbers (Bottom of Page)"/>
        <w:docPartUnique/>
      </w:docPartObj>
    </w:sdtPr>
    <w:sdtContent>
      <w:p w:rsidR="00F93C29" w:rsidRDefault="003469FA">
        <w:pPr>
          <w:pStyle w:val="Footer"/>
          <w:jc w:val="right"/>
        </w:pPr>
        <w:fldSimple w:instr=" PAGE   \* MERGEFORMAT ">
          <w:r w:rsidR="00747A06">
            <w:rPr>
              <w:noProof/>
            </w:rPr>
            <w:t>15</w:t>
          </w:r>
        </w:fldSimple>
      </w:p>
    </w:sdtContent>
  </w:sdt>
  <w:p w:rsidR="00F93C29" w:rsidRDefault="00F93C2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93C29" w:rsidRDefault="00F93C29" w:rsidP="00180B7E">
      <w:pPr>
        <w:spacing w:after="0" w:line="240" w:lineRule="auto"/>
      </w:pPr>
      <w:r>
        <w:separator/>
      </w:r>
    </w:p>
  </w:footnote>
  <w:footnote w:type="continuationSeparator" w:id="0">
    <w:p w:rsidR="00F93C29" w:rsidRDefault="00F93C29" w:rsidP="00180B7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77D58"/>
    <w:multiLevelType w:val="hybridMultilevel"/>
    <w:tmpl w:val="57CA7C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8B62659"/>
    <w:multiLevelType w:val="multilevel"/>
    <w:tmpl w:val="C4882E1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nsid w:val="1D6E48BA"/>
    <w:multiLevelType w:val="hybridMultilevel"/>
    <w:tmpl w:val="57CA7C5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EC055C5"/>
    <w:multiLevelType w:val="multilevel"/>
    <w:tmpl w:val="62ACDF9A"/>
    <w:lvl w:ilvl="0">
      <w:start w:val="5"/>
      <w:numFmt w:val="decimal"/>
      <w:lvlText w:val="%1"/>
      <w:lvlJc w:val="left"/>
      <w:pPr>
        <w:ind w:left="360" w:hanging="360"/>
      </w:pPr>
      <w:rPr>
        <w:rFonts w:hint="default"/>
        <w:b w:val="0"/>
      </w:rPr>
    </w:lvl>
    <w:lvl w:ilvl="1">
      <w:start w:val="4"/>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4">
    <w:nsid w:val="364F362B"/>
    <w:multiLevelType w:val="multilevel"/>
    <w:tmpl w:val="B322A430"/>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38E13F18"/>
    <w:multiLevelType w:val="hybridMultilevel"/>
    <w:tmpl w:val="1968FD18"/>
    <w:lvl w:ilvl="0" w:tplc="1E8C495E">
      <w:start w:val="5"/>
      <w:numFmt w:val="bullet"/>
      <w:lvlText w:val=""/>
      <w:lvlJc w:val="left"/>
      <w:pPr>
        <w:ind w:left="1069" w:hanging="360"/>
      </w:pPr>
      <w:rPr>
        <w:rFonts w:ascii="Symbol" w:eastAsiaTheme="minorHAnsi" w:hAnsi="Symbol" w:cstheme="minorBid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6">
    <w:nsid w:val="62D427D6"/>
    <w:multiLevelType w:val="multilevel"/>
    <w:tmpl w:val="D24E846A"/>
    <w:lvl w:ilvl="0">
      <w:start w:val="1"/>
      <w:numFmt w:val="decimal"/>
      <w:lvlText w:val="%1"/>
      <w:lvlJc w:val="left"/>
      <w:pPr>
        <w:ind w:left="360" w:hanging="360"/>
      </w:pPr>
      <w:rPr>
        <w:rFonts w:hint="default"/>
        <w:sz w:val="22"/>
      </w:rPr>
    </w:lvl>
    <w:lvl w:ilvl="1">
      <w:start w:val="1"/>
      <w:numFmt w:val="decimal"/>
      <w:lvlText w:val="%1.%2"/>
      <w:lvlJc w:val="left"/>
      <w:pPr>
        <w:ind w:left="360" w:hanging="360"/>
      </w:pPr>
      <w:rPr>
        <w:rFonts w:hint="default"/>
        <w:sz w:val="22"/>
      </w:rPr>
    </w:lvl>
    <w:lvl w:ilvl="2">
      <w:start w:val="1"/>
      <w:numFmt w:val="decimal"/>
      <w:lvlText w:val="%1.%2.%3"/>
      <w:lvlJc w:val="left"/>
      <w:pPr>
        <w:ind w:left="720" w:hanging="720"/>
      </w:pPr>
      <w:rPr>
        <w:rFonts w:hint="default"/>
        <w:sz w:val="22"/>
      </w:rPr>
    </w:lvl>
    <w:lvl w:ilvl="3">
      <w:start w:val="1"/>
      <w:numFmt w:val="decimal"/>
      <w:lvlText w:val="%1.%2.%3.%4"/>
      <w:lvlJc w:val="left"/>
      <w:pPr>
        <w:ind w:left="720" w:hanging="720"/>
      </w:pPr>
      <w:rPr>
        <w:rFonts w:hint="default"/>
        <w:sz w:val="22"/>
      </w:rPr>
    </w:lvl>
    <w:lvl w:ilvl="4">
      <w:start w:val="1"/>
      <w:numFmt w:val="decimal"/>
      <w:lvlText w:val="%1.%2.%3.%4.%5"/>
      <w:lvlJc w:val="left"/>
      <w:pPr>
        <w:ind w:left="1080" w:hanging="1080"/>
      </w:pPr>
      <w:rPr>
        <w:rFonts w:hint="default"/>
        <w:sz w:val="22"/>
      </w:rPr>
    </w:lvl>
    <w:lvl w:ilvl="5">
      <w:start w:val="1"/>
      <w:numFmt w:val="decimal"/>
      <w:lvlText w:val="%1.%2.%3.%4.%5.%6"/>
      <w:lvlJc w:val="left"/>
      <w:pPr>
        <w:ind w:left="1080" w:hanging="1080"/>
      </w:pPr>
      <w:rPr>
        <w:rFonts w:hint="default"/>
        <w:sz w:val="22"/>
      </w:rPr>
    </w:lvl>
    <w:lvl w:ilvl="6">
      <w:start w:val="1"/>
      <w:numFmt w:val="decimal"/>
      <w:lvlText w:val="%1.%2.%3.%4.%5.%6.%7"/>
      <w:lvlJc w:val="left"/>
      <w:pPr>
        <w:ind w:left="1440" w:hanging="1440"/>
      </w:pPr>
      <w:rPr>
        <w:rFonts w:hint="default"/>
        <w:sz w:val="22"/>
      </w:rPr>
    </w:lvl>
    <w:lvl w:ilvl="7">
      <w:start w:val="1"/>
      <w:numFmt w:val="decimal"/>
      <w:lvlText w:val="%1.%2.%3.%4.%5.%6.%7.%8"/>
      <w:lvlJc w:val="left"/>
      <w:pPr>
        <w:ind w:left="1440" w:hanging="1440"/>
      </w:pPr>
      <w:rPr>
        <w:rFonts w:hint="default"/>
        <w:sz w:val="22"/>
      </w:rPr>
    </w:lvl>
    <w:lvl w:ilvl="8">
      <w:start w:val="1"/>
      <w:numFmt w:val="decimal"/>
      <w:lvlText w:val="%1.%2.%3.%4.%5.%6.%7.%8.%9"/>
      <w:lvlJc w:val="left"/>
      <w:pPr>
        <w:ind w:left="1440" w:hanging="1440"/>
      </w:pPr>
      <w:rPr>
        <w:rFonts w:hint="default"/>
        <w:sz w:val="22"/>
      </w:rPr>
    </w:lvl>
  </w:abstractNum>
  <w:num w:numId="1">
    <w:abstractNumId w:val="2"/>
  </w:num>
  <w:num w:numId="2">
    <w:abstractNumId w:val="1"/>
  </w:num>
  <w:num w:numId="3">
    <w:abstractNumId w:val="6"/>
  </w:num>
  <w:num w:numId="4">
    <w:abstractNumId w:val="0"/>
  </w:num>
  <w:num w:numId="5">
    <w:abstractNumId w:val="5"/>
  </w:num>
  <w:num w:numId="6">
    <w:abstractNumId w:val="3"/>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proofState w:spelling="clean" w:grammar="clean"/>
  <w:defaultTabStop w:val="720"/>
  <w:characterSpacingControl w:val="doNotCompress"/>
  <w:footnotePr>
    <w:footnote w:id="-1"/>
    <w:footnote w:id="0"/>
  </w:footnotePr>
  <w:endnotePr>
    <w:endnote w:id="-1"/>
    <w:endnote w:id="0"/>
  </w:endnotePr>
  <w:compat/>
  <w:rsids>
    <w:rsidRoot w:val="005112D6"/>
    <w:rsid w:val="00004115"/>
    <w:rsid w:val="00010892"/>
    <w:rsid w:val="0001527A"/>
    <w:rsid w:val="00016B58"/>
    <w:rsid w:val="00022517"/>
    <w:rsid w:val="00024372"/>
    <w:rsid w:val="00024A7F"/>
    <w:rsid w:val="000257D9"/>
    <w:rsid w:val="0005126E"/>
    <w:rsid w:val="0006189B"/>
    <w:rsid w:val="00063F6B"/>
    <w:rsid w:val="000708EC"/>
    <w:rsid w:val="000769FF"/>
    <w:rsid w:val="000771EA"/>
    <w:rsid w:val="000826E1"/>
    <w:rsid w:val="00085A7D"/>
    <w:rsid w:val="00092B2D"/>
    <w:rsid w:val="00096041"/>
    <w:rsid w:val="000A02A9"/>
    <w:rsid w:val="000A64E9"/>
    <w:rsid w:val="000A6946"/>
    <w:rsid w:val="000B3F68"/>
    <w:rsid w:val="000E2CC7"/>
    <w:rsid w:val="000F2A40"/>
    <w:rsid w:val="000F4421"/>
    <w:rsid w:val="00106ED0"/>
    <w:rsid w:val="0010726D"/>
    <w:rsid w:val="001144ED"/>
    <w:rsid w:val="00124E3F"/>
    <w:rsid w:val="001259CC"/>
    <w:rsid w:val="0013247E"/>
    <w:rsid w:val="00135B97"/>
    <w:rsid w:val="001465B3"/>
    <w:rsid w:val="00151A8B"/>
    <w:rsid w:val="0017110F"/>
    <w:rsid w:val="00172043"/>
    <w:rsid w:val="00180B7E"/>
    <w:rsid w:val="00183659"/>
    <w:rsid w:val="00195B08"/>
    <w:rsid w:val="001A65E8"/>
    <w:rsid w:val="001A6957"/>
    <w:rsid w:val="001B2D96"/>
    <w:rsid w:val="001C30D9"/>
    <w:rsid w:val="001C4732"/>
    <w:rsid w:val="001D48E3"/>
    <w:rsid w:val="001E7226"/>
    <w:rsid w:val="001F695E"/>
    <w:rsid w:val="00203324"/>
    <w:rsid w:val="00205BEE"/>
    <w:rsid w:val="00211D1B"/>
    <w:rsid w:val="00212F87"/>
    <w:rsid w:val="00216B06"/>
    <w:rsid w:val="00222339"/>
    <w:rsid w:val="00223304"/>
    <w:rsid w:val="0022704A"/>
    <w:rsid w:val="00241EF2"/>
    <w:rsid w:val="00242455"/>
    <w:rsid w:val="00250011"/>
    <w:rsid w:val="00252B78"/>
    <w:rsid w:val="00263184"/>
    <w:rsid w:val="00265C00"/>
    <w:rsid w:val="00266691"/>
    <w:rsid w:val="002831FB"/>
    <w:rsid w:val="00285D15"/>
    <w:rsid w:val="002C3B51"/>
    <w:rsid w:val="002E06ED"/>
    <w:rsid w:val="002E3C1B"/>
    <w:rsid w:val="002E6E13"/>
    <w:rsid w:val="002E756A"/>
    <w:rsid w:val="00300077"/>
    <w:rsid w:val="00307CB2"/>
    <w:rsid w:val="00316521"/>
    <w:rsid w:val="00322D6E"/>
    <w:rsid w:val="00331860"/>
    <w:rsid w:val="00332A34"/>
    <w:rsid w:val="00343578"/>
    <w:rsid w:val="00345AEC"/>
    <w:rsid w:val="003469FA"/>
    <w:rsid w:val="00372622"/>
    <w:rsid w:val="003865F7"/>
    <w:rsid w:val="003B5339"/>
    <w:rsid w:val="003C4041"/>
    <w:rsid w:val="003D733C"/>
    <w:rsid w:val="003F2179"/>
    <w:rsid w:val="003F756F"/>
    <w:rsid w:val="00413BAC"/>
    <w:rsid w:val="004152FA"/>
    <w:rsid w:val="004165D2"/>
    <w:rsid w:val="004357FD"/>
    <w:rsid w:val="0044191D"/>
    <w:rsid w:val="00470525"/>
    <w:rsid w:val="00483B46"/>
    <w:rsid w:val="004A4FB8"/>
    <w:rsid w:val="004B2F3C"/>
    <w:rsid w:val="004C21C6"/>
    <w:rsid w:val="004D39B5"/>
    <w:rsid w:val="004D5000"/>
    <w:rsid w:val="004D6FF7"/>
    <w:rsid w:val="004E0937"/>
    <w:rsid w:val="004E4904"/>
    <w:rsid w:val="004F68AF"/>
    <w:rsid w:val="004F7C0F"/>
    <w:rsid w:val="005051E4"/>
    <w:rsid w:val="005075AE"/>
    <w:rsid w:val="005112D6"/>
    <w:rsid w:val="00517D90"/>
    <w:rsid w:val="00523180"/>
    <w:rsid w:val="0052444F"/>
    <w:rsid w:val="00533147"/>
    <w:rsid w:val="0055588A"/>
    <w:rsid w:val="005641B5"/>
    <w:rsid w:val="005718E2"/>
    <w:rsid w:val="00573285"/>
    <w:rsid w:val="00585E88"/>
    <w:rsid w:val="00592A34"/>
    <w:rsid w:val="005A41DA"/>
    <w:rsid w:val="005C5CDE"/>
    <w:rsid w:val="005C6360"/>
    <w:rsid w:val="005F6888"/>
    <w:rsid w:val="00605663"/>
    <w:rsid w:val="006106E0"/>
    <w:rsid w:val="00616FCE"/>
    <w:rsid w:val="00621A9D"/>
    <w:rsid w:val="00626584"/>
    <w:rsid w:val="00635B9C"/>
    <w:rsid w:val="00644F8E"/>
    <w:rsid w:val="0065413A"/>
    <w:rsid w:val="006633D7"/>
    <w:rsid w:val="0066496D"/>
    <w:rsid w:val="0067115A"/>
    <w:rsid w:val="0067789E"/>
    <w:rsid w:val="0068427C"/>
    <w:rsid w:val="0068511C"/>
    <w:rsid w:val="00692056"/>
    <w:rsid w:val="006A405C"/>
    <w:rsid w:val="006A608D"/>
    <w:rsid w:val="006A7122"/>
    <w:rsid w:val="006B49C2"/>
    <w:rsid w:val="006C3820"/>
    <w:rsid w:val="006C5ACC"/>
    <w:rsid w:val="006D2F98"/>
    <w:rsid w:val="006D5881"/>
    <w:rsid w:val="006D5EDF"/>
    <w:rsid w:val="006E1118"/>
    <w:rsid w:val="006F06E6"/>
    <w:rsid w:val="007026C5"/>
    <w:rsid w:val="0071456C"/>
    <w:rsid w:val="00714EC0"/>
    <w:rsid w:val="007173D1"/>
    <w:rsid w:val="007237C1"/>
    <w:rsid w:val="0073185C"/>
    <w:rsid w:val="00743F18"/>
    <w:rsid w:val="00744034"/>
    <w:rsid w:val="007449C0"/>
    <w:rsid w:val="00747A06"/>
    <w:rsid w:val="00752A30"/>
    <w:rsid w:val="00762F2F"/>
    <w:rsid w:val="0077700C"/>
    <w:rsid w:val="00784858"/>
    <w:rsid w:val="007A0283"/>
    <w:rsid w:val="007A188C"/>
    <w:rsid w:val="007A3BAA"/>
    <w:rsid w:val="007C108F"/>
    <w:rsid w:val="007C26BD"/>
    <w:rsid w:val="007C40D9"/>
    <w:rsid w:val="007D3D15"/>
    <w:rsid w:val="007D5D17"/>
    <w:rsid w:val="007E4271"/>
    <w:rsid w:val="007E5BDB"/>
    <w:rsid w:val="00805125"/>
    <w:rsid w:val="0081011D"/>
    <w:rsid w:val="00832047"/>
    <w:rsid w:val="0083720D"/>
    <w:rsid w:val="00842067"/>
    <w:rsid w:val="00846597"/>
    <w:rsid w:val="00853DEB"/>
    <w:rsid w:val="00856564"/>
    <w:rsid w:val="0086517E"/>
    <w:rsid w:val="00865C06"/>
    <w:rsid w:val="00883405"/>
    <w:rsid w:val="00885A30"/>
    <w:rsid w:val="0088636A"/>
    <w:rsid w:val="008B17FD"/>
    <w:rsid w:val="008D4EA1"/>
    <w:rsid w:val="008D7CFC"/>
    <w:rsid w:val="008E093C"/>
    <w:rsid w:val="008E4669"/>
    <w:rsid w:val="008E48A4"/>
    <w:rsid w:val="008E49E4"/>
    <w:rsid w:val="009031C9"/>
    <w:rsid w:val="00911292"/>
    <w:rsid w:val="00912844"/>
    <w:rsid w:val="00914651"/>
    <w:rsid w:val="00917DB3"/>
    <w:rsid w:val="00927092"/>
    <w:rsid w:val="0094084A"/>
    <w:rsid w:val="0094436B"/>
    <w:rsid w:val="00954C04"/>
    <w:rsid w:val="00954D99"/>
    <w:rsid w:val="00956655"/>
    <w:rsid w:val="00972668"/>
    <w:rsid w:val="009726E5"/>
    <w:rsid w:val="00974595"/>
    <w:rsid w:val="0097570C"/>
    <w:rsid w:val="009774EA"/>
    <w:rsid w:val="00985D96"/>
    <w:rsid w:val="009870BC"/>
    <w:rsid w:val="00997C66"/>
    <w:rsid w:val="009A3F51"/>
    <w:rsid w:val="009D7E13"/>
    <w:rsid w:val="009F2DC0"/>
    <w:rsid w:val="00A23975"/>
    <w:rsid w:val="00A24CE2"/>
    <w:rsid w:val="00A4657F"/>
    <w:rsid w:val="00A47274"/>
    <w:rsid w:val="00A6564A"/>
    <w:rsid w:val="00A700FC"/>
    <w:rsid w:val="00A716C0"/>
    <w:rsid w:val="00A74F11"/>
    <w:rsid w:val="00A86C01"/>
    <w:rsid w:val="00AA6BAA"/>
    <w:rsid w:val="00AB30DC"/>
    <w:rsid w:val="00AC3AB3"/>
    <w:rsid w:val="00AC7E4C"/>
    <w:rsid w:val="00AD0AA1"/>
    <w:rsid w:val="00AD7F56"/>
    <w:rsid w:val="00AE5DDE"/>
    <w:rsid w:val="00AF24FD"/>
    <w:rsid w:val="00AF3757"/>
    <w:rsid w:val="00AF3E17"/>
    <w:rsid w:val="00AF4A1A"/>
    <w:rsid w:val="00B20620"/>
    <w:rsid w:val="00B23F11"/>
    <w:rsid w:val="00B3238B"/>
    <w:rsid w:val="00B44F8C"/>
    <w:rsid w:val="00B54392"/>
    <w:rsid w:val="00B6719D"/>
    <w:rsid w:val="00B71F1C"/>
    <w:rsid w:val="00B732BE"/>
    <w:rsid w:val="00B77017"/>
    <w:rsid w:val="00BA12F2"/>
    <w:rsid w:val="00BC0C05"/>
    <w:rsid w:val="00BC328F"/>
    <w:rsid w:val="00BD0773"/>
    <w:rsid w:val="00BD2C9B"/>
    <w:rsid w:val="00BD4FAF"/>
    <w:rsid w:val="00BD7A14"/>
    <w:rsid w:val="00BE2961"/>
    <w:rsid w:val="00BE40E3"/>
    <w:rsid w:val="00C04C8B"/>
    <w:rsid w:val="00C05455"/>
    <w:rsid w:val="00C146EE"/>
    <w:rsid w:val="00C31D90"/>
    <w:rsid w:val="00C356F5"/>
    <w:rsid w:val="00C40690"/>
    <w:rsid w:val="00C568AB"/>
    <w:rsid w:val="00C668D4"/>
    <w:rsid w:val="00C923A6"/>
    <w:rsid w:val="00C92E1D"/>
    <w:rsid w:val="00C96C30"/>
    <w:rsid w:val="00CA76EC"/>
    <w:rsid w:val="00CC454F"/>
    <w:rsid w:val="00CD2166"/>
    <w:rsid w:val="00CD516E"/>
    <w:rsid w:val="00CE2E9C"/>
    <w:rsid w:val="00CF13F6"/>
    <w:rsid w:val="00D0373A"/>
    <w:rsid w:val="00D1184C"/>
    <w:rsid w:val="00D1601C"/>
    <w:rsid w:val="00D32829"/>
    <w:rsid w:val="00D43B76"/>
    <w:rsid w:val="00D646BA"/>
    <w:rsid w:val="00D67DDF"/>
    <w:rsid w:val="00D81ECA"/>
    <w:rsid w:val="00D90457"/>
    <w:rsid w:val="00D926CD"/>
    <w:rsid w:val="00D93714"/>
    <w:rsid w:val="00D96B64"/>
    <w:rsid w:val="00DC38A9"/>
    <w:rsid w:val="00DD20BF"/>
    <w:rsid w:val="00DF6F55"/>
    <w:rsid w:val="00E0295D"/>
    <w:rsid w:val="00E03A71"/>
    <w:rsid w:val="00E16C6C"/>
    <w:rsid w:val="00E20799"/>
    <w:rsid w:val="00E23825"/>
    <w:rsid w:val="00E305B8"/>
    <w:rsid w:val="00E37AC1"/>
    <w:rsid w:val="00E566FA"/>
    <w:rsid w:val="00E64281"/>
    <w:rsid w:val="00E75C1E"/>
    <w:rsid w:val="00E91916"/>
    <w:rsid w:val="00E95AEC"/>
    <w:rsid w:val="00EA3B72"/>
    <w:rsid w:val="00EB08D2"/>
    <w:rsid w:val="00EC50A2"/>
    <w:rsid w:val="00ED66BF"/>
    <w:rsid w:val="00EF1553"/>
    <w:rsid w:val="00EF70CF"/>
    <w:rsid w:val="00F3289D"/>
    <w:rsid w:val="00F35DF7"/>
    <w:rsid w:val="00F51772"/>
    <w:rsid w:val="00F5754C"/>
    <w:rsid w:val="00F6637D"/>
    <w:rsid w:val="00F712CE"/>
    <w:rsid w:val="00F91408"/>
    <w:rsid w:val="00F93C29"/>
    <w:rsid w:val="00FB4577"/>
    <w:rsid w:val="00FB74A9"/>
    <w:rsid w:val="00FD2D53"/>
    <w:rsid w:val="00FD6C98"/>
    <w:rsid w:val="00FE0DFB"/>
    <w:rsid w:val="00FE57C4"/>
    <w:rsid w:val="00FE7A1D"/>
    <w:rsid w:val="00FE7A72"/>
    <w:rsid w:val="00FF6BE0"/>
    <w:rsid w:val="00FF7F1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5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2D6"/>
    <w:pPr>
      <w:ind w:left="720"/>
      <w:contextualSpacing/>
    </w:pPr>
  </w:style>
  <w:style w:type="paragraph" w:styleId="BalloonText">
    <w:name w:val="Balloon Text"/>
    <w:basedOn w:val="Normal"/>
    <w:link w:val="BalloonTextChar"/>
    <w:uiPriority w:val="99"/>
    <w:semiHidden/>
    <w:unhideWhenUsed/>
    <w:rsid w:val="00FF7F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7F11"/>
    <w:rPr>
      <w:rFonts w:ascii="Tahoma" w:hAnsi="Tahoma" w:cs="Tahoma"/>
      <w:sz w:val="16"/>
      <w:szCs w:val="16"/>
    </w:rPr>
  </w:style>
  <w:style w:type="character" w:styleId="Hyperlink">
    <w:name w:val="Hyperlink"/>
    <w:basedOn w:val="DefaultParagraphFont"/>
    <w:uiPriority w:val="99"/>
    <w:unhideWhenUsed/>
    <w:rsid w:val="00A47274"/>
    <w:rPr>
      <w:color w:val="0000FF" w:themeColor="hyperlink"/>
      <w:u w:val="single"/>
    </w:rPr>
  </w:style>
  <w:style w:type="paragraph" w:styleId="Header">
    <w:name w:val="header"/>
    <w:basedOn w:val="Normal"/>
    <w:link w:val="HeaderChar"/>
    <w:uiPriority w:val="99"/>
    <w:semiHidden/>
    <w:unhideWhenUsed/>
    <w:rsid w:val="00180B7E"/>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180B7E"/>
  </w:style>
  <w:style w:type="paragraph" w:styleId="Footer">
    <w:name w:val="footer"/>
    <w:basedOn w:val="Normal"/>
    <w:link w:val="FooterChar"/>
    <w:uiPriority w:val="99"/>
    <w:unhideWhenUsed/>
    <w:rsid w:val="00180B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0B7E"/>
  </w:style>
  <w:style w:type="paragraph" w:styleId="NormalWeb">
    <w:name w:val="Normal (Web)"/>
    <w:basedOn w:val="Normal"/>
    <w:uiPriority w:val="99"/>
    <w:semiHidden/>
    <w:unhideWhenUsed/>
    <w:rsid w:val="005051E4"/>
    <w:pPr>
      <w:spacing w:before="100" w:beforeAutospacing="1" w:after="100" w:afterAutospacing="1" w:line="240" w:lineRule="auto"/>
    </w:pPr>
    <w:rPr>
      <w:rFonts w:ascii="Times New Roman" w:hAnsi="Times New Roman" w:cs="Times New Roman"/>
      <w:sz w:val="24"/>
      <w:szCs w:val="24"/>
      <w:lang w:eastAsia="en-GB"/>
    </w:rPr>
  </w:style>
  <w:style w:type="table" w:customStyle="1" w:styleId="LightShading-Accent11">
    <w:name w:val="Light Shading - Accent 11"/>
    <w:basedOn w:val="TableNormal"/>
    <w:uiPriority w:val="60"/>
    <w:rsid w:val="004D5000"/>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CommentReference">
    <w:name w:val="annotation reference"/>
    <w:basedOn w:val="DefaultParagraphFont"/>
    <w:uiPriority w:val="99"/>
    <w:semiHidden/>
    <w:unhideWhenUsed/>
    <w:rsid w:val="0044191D"/>
    <w:rPr>
      <w:sz w:val="16"/>
      <w:szCs w:val="16"/>
    </w:rPr>
  </w:style>
  <w:style w:type="paragraph" w:styleId="CommentText">
    <w:name w:val="annotation text"/>
    <w:basedOn w:val="Normal"/>
    <w:link w:val="CommentTextChar"/>
    <w:uiPriority w:val="99"/>
    <w:semiHidden/>
    <w:unhideWhenUsed/>
    <w:rsid w:val="0044191D"/>
    <w:pPr>
      <w:spacing w:line="240" w:lineRule="auto"/>
    </w:pPr>
    <w:rPr>
      <w:sz w:val="20"/>
      <w:szCs w:val="20"/>
    </w:rPr>
  </w:style>
  <w:style w:type="character" w:customStyle="1" w:styleId="CommentTextChar">
    <w:name w:val="Comment Text Char"/>
    <w:basedOn w:val="DefaultParagraphFont"/>
    <w:link w:val="CommentText"/>
    <w:uiPriority w:val="99"/>
    <w:semiHidden/>
    <w:rsid w:val="0044191D"/>
    <w:rPr>
      <w:sz w:val="20"/>
      <w:szCs w:val="20"/>
    </w:rPr>
  </w:style>
  <w:style w:type="paragraph" w:styleId="CommentSubject">
    <w:name w:val="annotation subject"/>
    <w:basedOn w:val="CommentText"/>
    <w:next w:val="CommentText"/>
    <w:link w:val="CommentSubjectChar"/>
    <w:uiPriority w:val="99"/>
    <w:semiHidden/>
    <w:unhideWhenUsed/>
    <w:rsid w:val="0044191D"/>
    <w:rPr>
      <w:b/>
      <w:bCs/>
    </w:rPr>
  </w:style>
  <w:style w:type="character" w:customStyle="1" w:styleId="CommentSubjectChar">
    <w:name w:val="Comment Subject Char"/>
    <w:basedOn w:val="CommentTextChar"/>
    <w:link w:val="CommentSubject"/>
    <w:uiPriority w:val="99"/>
    <w:semiHidden/>
    <w:rsid w:val="0044191D"/>
    <w:rPr>
      <w:b/>
      <w:bCs/>
    </w:rPr>
  </w:style>
</w:styles>
</file>

<file path=word/webSettings.xml><?xml version="1.0" encoding="utf-8"?>
<w:webSettings xmlns:r="http://schemas.openxmlformats.org/officeDocument/2006/relationships" xmlns:w="http://schemas.openxmlformats.org/wordprocessingml/2006/main">
  <w:divs>
    <w:div w:id="175927305">
      <w:bodyDiv w:val="1"/>
      <w:marLeft w:val="0"/>
      <w:marRight w:val="0"/>
      <w:marTop w:val="0"/>
      <w:marBottom w:val="0"/>
      <w:divBdr>
        <w:top w:val="none" w:sz="0" w:space="0" w:color="auto"/>
        <w:left w:val="none" w:sz="0" w:space="0" w:color="auto"/>
        <w:bottom w:val="none" w:sz="0" w:space="0" w:color="auto"/>
        <w:right w:val="none" w:sz="0" w:space="0" w:color="auto"/>
      </w:divBdr>
    </w:div>
    <w:div w:id="411393346">
      <w:bodyDiv w:val="1"/>
      <w:marLeft w:val="0"/>
      <w:marRight w:val="0"/>
      <w:marTop w:val="0"/>
      <w:marBottom w:val="0"/>
      <w:divBdr>
        <w:top w:val="none" w:sz="0" w:space="0" w:color="auto"/>
        <w:left w:val="none" w:sz="0" w:space="0" w:color="auto"/>
        <w:bottom w:val="none" w:sz="0" w:space="0" w:color="auto"/>
        <w:right w:val="none" w:sz="0" w:space="0" w:color="auto"/>
      </w:divBdr>
    </w:div>
    <w:div w:id="430469277">
      <w:bodyDiv w:val="1"/>
      <w:marLeft w:val="0"/>
      <w:marRight w:val="0"/>
      <w:marTop w:val="0"/>
      <w:marBottom w:val="0"/>
      <w:divBdr>
        <w:top w:val="none" w:sz="0" w:space="0" w:color="auto"/>
        <w:left w:val="none" w:sz="0" w:space="0" w:color="auto"/>
        <w:bottom w:val="none" w:sz="0" w:space="0" w:color="auto"/>
        <w:right w:val="none" w:sz="0" w:space="0" w:color="auto"/>
      </w:divBdr>
    </w:div>
    <w:div w:id="517542023">
      <w:bodyDiv w:val="1"/>
      <w:marLeft w:val="0"/>
      <w:marRight w:val="0"/>
      <w:marTop w:val="0"/>
      <w:marBottom w:val="0"/>
      <w:divBdr>
        <w:top w:val="none" w:sz="0" w:space="0" w:color="auto"/>
        <w:left w:val="none" w:sz="0" w:space="0" w:color="auto"/>
        <w:bottom w:val="none" w:sz="0" w:space="0" w:color="auto"/>
        <w:right w:val="none" w:sz="0" w:space="0" w:color="auto"/>
      </w:divBdr>
    </w:div>
    <w:div w:id="532573502">
      <w:bodyDiv w:val="1"/>
      <w:marLeft w:val="0"/>
      <w:marRight w:val="0"/>
      <w:marTop w:val="0"/>
      <w:marBottom w:val="0"/>
      <w:divBdr>
        <w:top w:val="none" w:sz="0" w:space="0" w:color="auto"/>
        <w:left w:val="none" w:sz="0" w:space="0" w:color="auto"/>
        <w:bottom w:val="none" w:sz="0" w:space="0" w:color="auto"/>
        <w:right w:val="none" w:sz="0" w:space="0" w:color="auto"/>
      </w:divBdr>
    </w:div>
    <w:div w:id="609048142">
      <w:bodyDiv w:val="1"/>
      <w:marLeft w:val="0"/>
      <w:marRight w:val="0"/>
      <w:marTop w:val="0"/>
      <w:marBottom w:val="0"/>
      <w:divBdr>
        <w:top w:val="none" w:sz="0" w:space="0" w:color="auto"/>
        <w:left w:val="none" w:sz="0" w:space="0" w:color="auto"/>
        <w:bottom w:val="none" w:sz="0" w:space="0" w:color="auto"/>
        <w:right w:val="none" w:sz="0" w:space="0" w:color="auto"/>
      </w:divBdr>
    </w:div>
    <w:div w:id="663821530">
      <w:bodyDiv w:val="1"/>
      <w:marLeft w:val="0"/>
      <w:marRight w:val="0"/>
      <w:marTop w:val="0"/>
      <w:marBottom w:val="0"/>
      <w:divBdr>
        <w:top w:val="none" w:sz="0" w:space="0" w:color="auto"/>
        <w:left w:val="none" w:sz="0" w:space="0" w:color="auto"/>
        <w:bottom w:val="none" w:sz="0" w:space="0" w:color="auto"/>
        <w:right w:val="none" w:sz="0" w:space="0" w:color="auto"/>
      </w:divBdr>
    </w:div>
    <w:div w:id="717244626">
      <w:bodyDiv w:val="1"/>
      <w:marLeft w:val="0"/>
      <w:marRight w:val="0"/>
      <w:marTop w:val="0"/>
      <w:marBottom w:val="0"/>
      <w:divBdr>
        <w:top w:val="none" w:sz="0" w:space="0" w:color="auto"/>
        <w:left w:val="none" w:sz="0" w:space="0" w:color="auto"/>
        <w:bottom w:val="none" w:sz="0" w:space="0" w:color="auto"/>
        <w:right w:val="none" w:sz="0" w:space="0" w:color="auto"/>
      </w:divBdr>
    </w:div>
    <w:div w:id="758793164">
      <w:bodyDiv w:val="1"/>
      <w:marLeft w:val="0"/>
      <w:marRight w:val="0"/>
      <w:marTop w:val="0"/>
      <w:marBottom w:val="0"/>
      <w:divBdr>
        <w:top w:val="none" w:sz="0" w:space="0" w:color="auto"/>
        <w:left w:val="none" w:sz="0" w:space="0" w:color="auto"/>
        <w:bottom w:val="none" w:sz="0" w:space="0" w:color="auto"/>
        <w:right w:val="none" w:sz="0" w:space="0" w:color="auto"/>
      </w:divBdr>
    </w:div>
    <w:div w:id="806748711">
      <w:bodyDiv w:val="1"/>
      <w:marLeft w:val="0"/>
      <w:marRight w:val="0"/>
      <w:marTop w:val="0"/>
      <w:marBottom w:val="0"/>
      <w:divBdr>
        <w:top w:val="none" w:sz="0" w:space="0" w:color="auto"/>
        <w:left w:val="none" w:sz="0" w:space="0" w:color="auto"/>
        <w:bottom w:val="none" w:sz="0" w:space="0" w:color="auto"/>
        <w:right w:val="none" w:sz="0" w:space="0" w:color="auto"/>
      </w:divBdr>
    </w:div>
    <w:div w:id="882864919">
      <w:bodyDiv w:val="1"/>
      <w:marLeft w:val="0"/>
      <w:marRight w:val="0"/>
      <w:marTop w:val="0"/>
      <w:marBottom w:val="0"/>
      <w:divBdr>
        <w:top w:val="none" w:sz="0" w:space="0" w:color="auto"/>
        <w:left w:val="none" w:sz="0" w:space="0" w:color="auto"/>
        <w:bottom w:val="none" w:sz="0" w:space="0" w:color="auto"/>
        <w:right w:val="none" w:sz="0" w:space="0" w:color="auto"/>
      </w:divBdr>
    </w:div>
    <w:div w:id="951673506">
      <w:bodyDiv w:val="1"/>
      <w:marLeft w:val="0"/>
      <w:marRight w:val="0"/>
      <w:marTop w:val="0"/>
      <w:marBottom w:val="0"/>
      <w:divBdr>
        <w:top w:val="none" w:sz="0" w:space="0" w:color="auto"/>
        <w:left w:val="none" w:sz="0" w:space="0" w:color="auto"/>
        <w:bottom w:val="none" w:sz="0" w:space="0" w:color="auto"/>
        <w:right w:val="none" w:sz="0" w:space="0" w:color="auto"/>
      </w:divBdr>
    </w:div>
    <w:div w:id="1067075265">
      <w:bodyDiv w:val="1"/>
      <w:marLeft w:val="0"/>
      <w:marRight w:val="0"/>
      <w:marTop w:val="0"/>
      <w:marBottom w:val="0"/>
      <w:divBdr>
        <w:top w:val="none" w:sz="0" w:space="0" w:color="auto"/>
        <w:left w:val="none" w:sz="0" w:space="0" w:color="auto"/>
        <w:bottom w:val="none" w:sz="0" w:space="0" w:color="auto"/>
        <w:right w:val="none" w:sz="0" w:space="0" w:color="auto"/>
      </w:divBdr>
    </w:div>
    <w:div w:id="1279409817">
      <w:bodyDiv w:val="1"/>
      <w:marLeft w:val="0"/>
      <w:marRight w:val="0"/>
      <w:marTop w:val="0"/>
      <w:marBottom w:val="0"/>
      <w:divBdr>
        <w:top w:val="none" w:sz="0" w:space="0" w:color="auto"/>
        <w:left w:val="none" w:sz="0" w:space="0" w:color="auto"/>
        <w:bottom w:val="none" w:sz="0" w:space="0" w:color="auto"/>
        <w:right w:val="none" w:sz="0" w:space="0" w:color="auto"/>
      </w:divBdr>
    </w:div>
    <w:div w:id="1316496632">
      <w:bodyDiv w:val="1"/>
      <w:marLeft w:val="0"/>
      <w:marRight w:val="0"/>
      <w:marTop w:val="0"/>
      <w:marBottom w:val="0"/>
      <w:divBdr>
        <w:top w:val="none" w:sz="0" w:space="0" w:color="auto"/>
        <w:left w:val="none" w:sz="0" w:space="0" w:color="auto"/>
        <w:bottom w:val="none" w:sz="0" w:space="0" w:color="auto"/>
        <w:right w:val="none" w:sz="0" w:space="0" w:color="auto"/>
      </w:divBdr>
    </w:div>
    <w:div w:id="1540511981">
      <w:bodyDiv w:val="1"/>
      <w:marLeft w:val="0"/>
      <w:marRight w:val="0"/>
      <w:marTop w:val="0"/>
      <w:marBottom w:val="0"/>
      <w:divBdr>
        <w:top w:val="none" w:sz="0" w:space="0" w:color="auto"/>
        <w:left w:val="none" w:sz="0" w:space="0" w:color="auto"/>
        <w:bottom w:val="none" w:sz="0" w:space="0" w:color="auto"/>
        <w:right w:val="none" w:sz="0" w:space="0" w:color="auto"/>
      </w:divBdr>
    </w:div>
    <w:div w:id="1582367262">
      <w:bodyDiv w:val="1"/>
      <w:marLeft w:val="0"/>
      <w:marRight w:val="0"/>
      <w:marTop w:val="0"/>
      <w:marBottom w:val="0"/>
      <w:divBdr>
        <w:top w:val="none" w:sz="0" w:space="0" w:color="auto"/>
        <w:left w:val="none" w:sz="0" w:space="0" w:color="auto"/>
        <w:bottom w:val="none" w:sz="0" w:space="0" w:color="auto"/>
        <w:right w:val="none" w:sz="0" w:space="0" w:color="auto"/>
      </w:divBdr>
    </w:div>
    <w:div w:id="1640766488">
      <w:bodyDiv w:val="1"/>
      <w:marLeft w:val="0"/>
      <w:marRight w:val="0"/>
      <w:marTop w:val="0"/>
      <w:marBottom w:val="0"/>
      <w:divBdr>
        <w:top w:val="none" w:sz="0" w:space="0" w:color="auto"/>
        <w:left w:val="none" w:sz="0" w:space="0" w:color="auto"/>
        <w:bottom w:val="none" w:sz="0" w:space="0" w:color="auto"/>
        <w:right w:val="none" w:sz="0" w:space="0" w:color="auto"/>
      </w:divBdr>
    </w:div>
    <w:div w:id="1831947923">
      <w:bodyDiv w:val="1"/>
      <w:marLeft w:val="0"/>
      <w:marRight w:val="0"/>
      <w:marTop w:val="0"/>
      <w:marBottom w:val="0"/>
      <w:divBdr>
        <w:top w:val="none" w:sz="0" w:space="0" w:color="auto"/>
        <w:left w:val="none" w:sz="0" w:space="0" w:color="auto"/>
        <w:bottom w:val="none" w:sz="0" w:space="0" w:color="auto"/>
        <w:right w:val="none" w:sz="0" w:space="0" w:color="auto"/>
      </w:divBdr>
    </w:div>
    <w:div w:id="208983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uel.ac.uk/qa/extenuation.htm" TargetMode="External"/><Relationship Id="rId18" Type="http://schemas.openxmlformats.org/officeDocument/2006/relationships/chart" Target="charts/chart6.xml"/><Relationship Id="rId26" Type="http://schemas.openxmlformats.org/officeDocument/2006/relationships/chart" Target="charts/chart14.xml"/><Relationship Id="rId3" Type="http://schemas.openxmlformats.org/officeDocument/2006/relationships/styles" Target="styles.xml"/><Relationship Id="rId21" Type="http://schemas.openxmlformats.org/officeDocument/2006/relationships/chart" Target="charts/chart9.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chart" Target="charts/chart5.xml"/><Relationship Id="rId25" Type="http://schemas.openxmlformats.org/officeDocument/2006/relationships/chart" Target="charts/chart13.xml"/><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chart" Target="charts/chart12.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1.xml"/><Relationship Id="rId28" Type="http://schemas.openxmlformats.org/officeDocument/2006/relationships/chart" Target="charts/chart16.xml"/><Relationship Id="rId10" Type="http://schemas.openxmlformats.org/officeDocument/2006/relationships/image" Target="media/image3.emf"/><Relationship Id="rId19" Type="http://schemas.openxmlformats.org/officeDocument/2006/relationships/chart" Target="charts/chart7.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chart" Target="charts/chart2.xml"/><Relationship Id="rId22" Type="http://schemas.openxmlformats.org/officeDocument/2006/relationships/chart" Target="charts/chart10.xml"/><Relationship Id="rId27" Type="http://schemas.openxmlformats.org/officeDocument/2006/relationships/chart" Target="charts/chart15.xml"/><Relationship Id="rId30" Type="http://schemas.openxmlformats.org/officeDocument/2006/relationships/fontTable" Target="fontTable.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Earle1.UEL.017\Local%20Settings\Temporary%20Internet%20Files\Content.Outlook\X86U9F3F\Enrollment%20breakdown_foremail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Earle1.UEL.025\Local%20Settings\Temporary%20Internet%20Files\Content.Outlook\VKNCEP2Z\DATA%20REQUEST%20SEM%20A%20and%20B%201Oct_withhistorical.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WH-STAFF1\Departments\D96\DATA\QAD\QA\QA%20-%20from%201.8.04\Extenuation\12-13\Annual%20Report\DATA%20REQUEST%20SEM%20A%20and%20B%2012sept%20latest.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Earle1.UEL.025\Local%20Settings\Temporary%20Internet%20Files\Content.Outlook\VKNCEP2Z\DATA%20REQUEST%20SEM%20A%20and%20B%201Oct_withhistorical.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Earle1.UEL.025\Local%20Settings\Temporary%20Internet%20Files\Content.Outlook\VKNCEP2Z\DATA%20REQUEST%20SEM%20A%20and%20B%201Oct_withhistorical.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WH-STAFF1\Departments\D96\DATA\QAD\QA\QA%20-%20from%201.8.04\Extenuation\12-13\Annual%20Report\DATA%20REQUEST%20SEM%20A%20and%20B%2012sept%20latest.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Documents%20and%20Settings\Earle1.UEL.025\Local%20Settings\Temporary%20Internet%20Files\Content.Outlook\VKNCEP2Z\DATA%20REQUEST%20SEM%20A%20and%20B%201Oct_withhistorical.xlsx" TargetMode="External"/></Relationships>
</file>

<file path=word/charts/_rels/chart16.xml.rels><?xml version="1.0" encoding="UTF-8" standalone="yes"?>
<Relationships xmlns="http://schemas.openxmlformats.org/package/2006/relationships"><Relationship Id="rId1" Type="http://schemas.openxmlformats.org/officeDocument/2006/relationships/oleObject" Target="file:///C:\Documents%20and%20Settings\Earle1.UEL.025\Local%20Settings\Temporary%20Internet%20Files\Content.Outlook\VKNCEP2Z\DATA%20REQUEST%20SEM%20A%20and%20B%201Oct_withhistorical.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WH-STAFF1\Departments\D96\DATA\QAD\QA\QA%20-%20from%201.8.04\Extenuation\12-13\Annual%20Report\DATA%20REQUEST%20SEM%20A%20and%20B%2012sept%20latest.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Earle1.UEL.025\Local%20Settings\Temporary%20Internet%20Files\Content.Outlook\VKNCEP2Z\DATA%20REQUEST%20SEM%20A%20and%20B%201Oct_withhistorical.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Earle1.UEL.025\Local%20Settings\Temporary%20Internet%20Files\Content.Outlook\VKNCEP2Z\DATA%20REQUEST%20SEM%20A%20and%20B%201Oct_withhistoric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WH-STAFF1\Departments\D96\DATA\QAD\QA\QA%20-%20from%201.8.04\Extenuation\12-13\Annual%20Report\DATA%20REQUEST%20SEM%20A%20and%20B%2012sept%20latest.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Earle1.UEL.025\Local%20Settings\Temporary%20Internet%20Files\Content.Outlook\VKNCEP2Z\DATA%20REQUEST%20SEM%20A%20and%20B%201Oct_withhistorical.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Earle1.UEL.025\Local%20Settings\Temporary%20Internet%20Files\Content.Outlook\VKNCEP2Z\DATA%20REQUEST%20SEM%20A%20and%20B%201Oct_withhistorical.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WH-STAFF1\Departments\D96\DATA\QAD\QA\QA%20-%20from%201.8.04\Extenuation\12-13\Annual%20Report\DATA%20REQUEST%20SEM%20A%20and%20B%2012sept%20latest.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Earle1.UEL.025\Local%20Settings\Temporary%20Internet%20Files\Content.Outlook\VKNCEP2Z\DATA%20REQUEST%20SEM%20A%20and%20B%201Oct_withhistoric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clustered"/>
        <c:ser>
          <c:idx val="0"/>
          <c:order val="0"/>
          <c:tx>
            <c:strRef>
              <c:f>Sheet1!$A$92</c:f>
              <c:strCache>
                <c:ptCount val="1"/>
                <c:pt idx="0">
                  <c:v>Total SEM A and B</c:v>
                </c:pt>
              </c:strCache>
            </c:strRef>
          </c:tx>
          <c:cat>
            <c:strRef>
              <c:f>Sheet1!$B$91:$H$91</c:f>
              <c:strCache>
                <c:ptCount val="7"/>
                <c:pt idx="0">
                  <c:v>ACE</c:v>
                </c:pt>
                <c:pt idx="1">
                  <c:v>ADI</c:v>
                </c:pt>
                <c:pt idx="2">
                  <c:v>CASS</c:v>
                </c:pt>
                <c:pt idx="3">
                  <c:v>HSB</c:v>
                </c:pt>
                <c:pt idx="4">
                  <c:v>LSS</c:v>
                </c:pt>
                <c:pt idx="5">
                  <c:v>PSY</c:v>
                </c:pt>
                <c:pt idx="6">
                  <c:v>RDBS</c:v>
                </c:pt>
              </c:strCache>
            </c:strRef>
          </c:cat>
          <c:val>
            <c:numRef>
              <c:f>Sheet1!$B$92:$H$92</c:f>
              <c:numCache>
                <c:formatCode>General</c:formatCode>
                <c:ptCount val="7"/>
                <c:pt idx="0">
                  <c:v>182</c:v>
                </c:pt>
                <c:pt idx="1">
                  <c:v>226</c:v>
                </c:pt>
                <c:pt idx="2">
                  <c:v>178</c:v>
                </c:pt>
                <c:pt idx="3">
                  <c:v>331</c:v>
                </c:pt>
                <c:pt idx="4">
                  <c:v>322</c:v>
                </c:pt>
                <c:pt idx="5">
                  <c:v>235</c:v>
                </c:pt>
                <c:pt idx="6">
                  <c:v>190</c:v>
                </c:pt>
              </c:numCache>
            </c:numRef>
          </c:val>
        </c:ser>
        <c:ser>
          <c:idx val="1"/>
          <c:order val="1"/>
          <c:tx>
            <c:strRef>
              <c:f>Sheet1!$A$93</c:f>
              <c:strCache>
                <c:ptCount val="1"/>
                <c:pt idx="0">
                  <c:v>Medical</c:v>
                </c:pt>
              </c:strCache>
            </c:strRef>
          </c:tx>
          <c:cat>
            <c:strRef>
              <c:f>Sheet1!$B$91:$H$91</c:f>
              <c:strCache>
                <c:ptCount val="7"/>
                <c:pt idx="0">
                  <c:v>ACE</c:v>
                </c:pt>
                <c:pt idx="1">
                  <c:v>ADI</c:v>
                </c:pt>
                <c:pt idx="2">
                  <c:v>CASS</c:v>
                </c:pt>
                <c:pt idx="3">
                  <c:v>HSB</c:v>
                </c:pt>
                <c:pt idx="4">
                  <c:v>LSS</c:v>
                </c:pt>
                <c:pt idx="5">
                  <c:v>PSY</c:v>
                </c:pt>
                <c:pt idx="6">
                  <c:v>RDBS</c:v>
                </c:pt>
              </c:strCache>
            </c:strRef>
          </c:cat>
          <c:val>
            <c:numRef>
              <c:f>Sheet1!$B$93:$H$93</c:f>
              <c:numCache>
                <c:formatCode>General</c:formatCode>
                <c:ptCount val="7"/>
                <c:pt idx="0">
                  <c:v>87</c:v>
                </c:pt>
                <c:pt idx="1">
                  <c:v>137</c:v>
                </c:pt>
                <c:pt idx="2">
                  <c:v>98</c:v>
                </c:pt>
                <c:pt idx="3">
                  <c:v>243</c:v>
                </c:pt>
                <c:pt idx="4">
                  <c:v>252</c:v>
                </c:pt>
                <c:pt idx="5">
                  <c:v>125</c:v>
                </c:pt>
                <c:pt idx="6">
                  <c:v>90</c:v>
                </c:pt>
              </c:numCache>
            </c:numRef>
          </c:val>
        </c:ser>
        <c:ser>
          <c:idx val="2"/>
          <c:order val="2"/>
          <c:tx>
            <c:strRef>
              <c:f>Sheet1!$A$94</c:f>
              <c:strCache>
                <c:ptCount val="1"/>
                <c:pt idx="0">
                  <c:v>Personal</c:v>
                </c:pt>
              </c:strCache>
            </c:strRef>
          </c:tx>
          <c:cat>
            <c:strRef>
              <c:f>Sheet1!$B$91:$H$91</c:f>
              <c:strCache>
                <c:ptCount val="7"/>
                <c:pt idx="0">
                  <c:v>ACE</c:v>
                </c:pt>
                <c:pt idx="1">
                  <c:v>ADI</c:v>
                </c:pt>
                <c:pt idx="2">
                  <c:v>CASS</c:v>
                </c:pt>
                <c:pt idx="3">
                  <c:v>HSB</c:v>
                </c:pt>
                <c:pt idx="4">
                  <c:v>LSS</c:v>
                </c:pt>
                <c:pt idx="5">
                  <c:v>PSY</c:v>
                </c:pt>
                <c:pt idx="6">
                  <c:v>RDBS</c:v>
                </c:pt>
              </c:strCache>
            </c:strRef>
          </c:cat>
          <c:val>
            <c:numRef>
              <c:f>Sheet1!$B$94:$H$94</c:f>
              <c:numCache>
                <c:formatCode>General</c:formatCode>
                <c:ptCount val="7"/>
                <c:pt idx="0">
                  <c:v>50</c:v>
                </c:pt>
                <c:pt idx="1">
                  <c:v>58</c:v>
                </c:pt>
                <c:pt idx="2">
                  <c:v>55</c:v>
                </c:pt>
                <c:pt idx="3">
                  <c:v>57</c:v>
                </c:pt>
                <c:pt idx="4">
                  <c:v>49</c:v>
                </c:pt>
                <c:pt idx="5">
                  <c:v>75</c:v>
                </c:pt>
                <c:pt idx="6">
                  <c:v>62</c:v>
                </c:pt>
              </c:numCache>
            </c:numRef>
          </c:val>
        </c:ser>
        <c:ser>
          <c:idx val="3"/>
          <c:order val="3"/>
          <c:tx>
            <c:strRef>
              <c:f>Sheet1!$A$95</c:f>
              <c:strCache>
                <c:ptCount val="1"/>
                <c:pt idx="0">
                  <c:v>Technical</c:v>
                </c:pt>
              </c:strCache>
            </c:strRef>
          </c:tx>
          <c:cat>
            <c:strRef>
              <c:f>Sheet1!$B$91:$H$91</c:f>
              <c:strCache>
                <c:ptCount val="7"/>
                <c:pt idx="0">
                  <c:v>ACE</c:v>
                </c:pt>
                <c:pt idx="1">
                  <c:v>ADI</c:v>
                </c:pt>
                <c:pt idx="2">
                  <c:v>CASS</c:v>
                </c:pt>
                <c:pt idx="3">
                  <c:v>HSB</c:v>
                </c:pt>
                <c:pt idx="4">
                  <c:v>LSS</c:v>
                </c:pt>
                <c:pt idx="5">
                  <c:v>PSY</c:v>
                </c:pt>
                <c:pt idx="6">
                  <c:v>RDBS</c:v>
                </c:pt>
              </c:strCache>
            </c:strRef>
          </c:cat>
          <c:val>
            <c:numRef>
              <c:f>Sheet1!$B$95:$H$95</c:f>
              <c:numCache>
                <c:formatCode>General</c:formatCode>
                <c:ptCount val="7"/>
                <c:pt idx="0">
                  <c:v>2</c:v>
                </c:pt>
                <c:pt idx="1">
                  <c:v>2</c:v>
                </c:pt>
                <c:pt idx="2">
                  <c:v>8</c:v>
                </c:pt>
                <c:pt idx="3">
                  <c:v>7</c:v>
                </c:pt>
                <c:pt idx="4">
                  <c:v>11</c:v>
                </c:pt>
                <c:pt idx="5">
                  <c:v>11</c:v>
                </c:pt>
                <c:pt idx="6">
                  <c:v>5</c:v>
                </c:pt>
              </c:numCache>
            </c:numRef>
          </c:val>
        </c:ser>
        <c:ser>
          <c:idx val="4"/>
          <c:order val="4"/>
          <c:tx>
            <c:strRef>
              <c:f>Sheet1!$A$96</c:f>
              <c:strCache>
                <c:ptCount val="1"/>
                <c:pt idx="0">
                  <c:v>Late Work</c:v>
                </c:pt>
              </c:strCache>
            </c:strRef>
          </c:tx>
          <c:cat>
            <c:strRef>
              <c:f>Sheet1!$B$91:$H$91</c:f>
              <c:strCache>
                <c:ptCount val="7"/>
                <c:pt idx="0">
                  <c:v>ACE</c:v>
                </c:pt>
                <c:pt idx="1">
                  <c:v>ADI</c:v>
                </c:pt>
                <c:pt idx="2">
                  <c:v>CASS</c:v>
                </c:pt>
                <c:pt idx="3">
                  <c:v>HSB</c:v>
                </c:pt>
                <c:pt idx="4">
                  <c:v>LSS</c:v>
                </c:pt>
                <c:pt idx="5">
                  <c:v>PSY</c:v>
                </c:pt>
                <c:pt idx="6">
                  <c:v>RDBS</c:v>
                </c:pt>
              </c:strCache>
            </c:strRef>
          </c:cat>
          <c:val>
            <c:numRef>
              <c:f>Sheet1!$B$96:$H$96</c:f>
              <c:numCache>
                <c:formatCode>General</c:formatCode>
                <c:ptCount val="7"/>
                <c:pt idx="0">
                  <c:v>20</c:v>
                </c:pt>
                <c:pt idx="1">
                  <c:v>29</c:v>
                </c:pt>
                <c:pt idx="2">
                  <c:v>10</c:v>
                </c:pt>
                <c:pt idx="3">
                  <c:v>25</c:v>
                </c:pt>
                <c:pt idx="4">
                  <c:v>20</c:v>
                </c:pt>
                <c:pt idx="5">
                  <c:v>24</c:v>
                </c:pt>
                <c:pt idx="6">
                  <c:v>33</c:v>
                </c:pt>
              </c:numCache>
            </c:numRef>
          </c:val>
        </c:ser>
        <c:axId val="129787776"/>
        <c:axId val="129789312"/>
      </c:barChart>
      <c:catAx>
        <c:axId val="129787776"/>
        <c:scaling>
          <c:orientation val="minMax"/>
        </c:scaling>
        <c:axPos val="b"/>
        <c:tickLblPos val="nextTo"/>
        <c:crossAx val="129789312"/>
        <c:crosses val="autoZero"/>
        <c:auto val="1"/>
        <c:lblAlgn val="ctr"/>
        <c:lblOffset val="100"/>
      </c:catAx>
      <c:valAx>
        <c:axId val="129789312"/>
        <c:scaling>
          <c:orientation val="minMax"/>
        </c:scaling>
        <c:axPos val="l"/>
        <c:numFmt formatCode="General" sourceLinked="1"/>
        <c:tickLblPos val="nextTo"/>
        <c:crossAx val="129787776"/>
        <c:crosses val="autoZero"/>
        <c:crossBetween val="between"/>
      </c:valAx>
    </c:plotArea>
    <c:legend>
      <c:legendPos val="r"/>
      <c:layout/>
    </c:legend>
    <c:plotVisOnly val="1"/>
  </c:chart>
  <c:spPr>
    <a:ln>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en-GB"/>
  <c:style val="4"/>
  <c:chart>
    <c:autoTitleDeleted val="1"/>
    <c:plotArea>
      <c:layout>
        <c:manualLayout>
          <c:layoutTarget val="inner"/>
          <c:xMode val="edge"/>
          <c:yMode val="edge"/>
          <c:x val="0.22215694669372005"/>
          <c:y val="0.12864498807878022"/>
          <c:w val="0.73217028722473565"/>
          <c:h val="0.70128482031349348"/>
        </c:manualLayout>
      </c:layout>
      <c:barChart>
        <c:barDir val="col"/>
        <c:grouping val="clustered"/>
        <c:ser>
          <c:idx val="0"/>
          <c:order val="0"/>
          <c:tx>
            <c:strRef>
              <c:f>'201011-201112'!$S$5</c:f>
              <c:strCache>
                <c:ptCount val="1"/>
                <c:pt idx="0">
                  <c:v>Extenuating population</c:v>
                </c:pt>
              </c:strCache>
            </c:strRef>
          </c:tx>
          <c:spPr>
            <a:solidFill>
              <a:schemeClr val="accent2">
                <a:alpha val="50000"/>
              </a:schemeClr>
            </a:solidFill>
          </c:spPr>
          <c:cat>
            <c:strRef>
              <c:f>'201011-201112'!$P$6:$P$7</c:f>
              <c:strCache>
                <c:ptCount val="2"/>
                <c:pt idx="0">
                  <c:v>Male</c:v>
                </c:pt>
                <c:pt idx="1">
                  <c:v>Female</c:v>
                </c:pt>
              </c:strCache>
            </c:strRef>
          </c:cat>
          <c:val>
            <c:numRef>
              <c:f>'201011-201112'!$S$6:$S$7</c:f>
              <c:numCache>
                <c:formatCode>0</c:formatCode>
                <c:ptCount val="2"/>
                <c:pt idx="0">
                  <c:v>32.589718719689621</c:v>
                </c:pt>
                <c:pt idx="1">
                  <c:v>67.4102812803105</c:v>
                </c:pt>
              </c:numCache>
            </c:numRef>
          </c:val>
        </c:ser>
        <c:ser>
          <c:idx val="1"/>
          <c:order val="1"/>
          <c:tx>
            <c:strRef>
              <c:f>'201011-201112'!$T$5</c:f>
              <c:strCache>
                <c:ptCount val="1"/>
                <c:pt idx="0">
                  <c:v>UEL enrolment</c:v>
                </c:pt>
              </c:strCache>
            </c:strRef>
          </c:tx>
          <c:spPr>
            <a:solidFill>
              <a:srgbClr val="4F81BD">
                <a:alpha val="50000"/>
              </a:srgbClr>
            </a:solidFill>
          </c:spPr>
          <c:cat>
            <c:strRef>
              <c:f>'201011-201112'!$P$6:$P$7</c:f>
              <c:strCache>
                <c:ptCount val="2"/>
                <c:pt idx="0">
                  <c:v>Male</c:v>
                </c:pt>
                <c:pt idx="1">
                  <c:v>Female</c:v>
                </c:pt>
              </c:strCache>
            </c:strRef>
          </c:cat>
          <c:val>
            <c:numRef>
              <c:f>'201011-201112'!$T$6:$T$7</c:f>
              <c:numCache>
                <c:formatCode>0</c:formatCode>
                <c:ptCount val="2"/>
                <c:pt idx="0">
                  <c:v>44.851170934559022</c:v>
                </c:pt>
                <c:pt idx="1">
                  <c:v>55.148829065440992</c:v>
                </c:pt>
              </c:numCache>
            </c:numRef>
          </c:val>
        </c:ser>
        <c:dLbls>
          <c:showVal val="1"/>
        </c:dLbls>
        <c:axId val="61713024"/>
        <c:axId val="61735296"/>
      </c:barChart>
      <c:catAx>
        <c:axId val="61713024"/>
        <c:scaling>
          <c:orientation val="minMax"/>
        </c:scaling>
        <c:axPos val="b"/>
        <c:numFmt formatCode="General" sourceLinked="1"/>
        <c:tickLblPos val="nextTo"/>
        <c:crossAx val="61735296"/>
        <c:crosses val="autoZero"/>
        <c:auto val="1"/>
        <c:lblAlgn val="ctr"/>
        <c:lblOffset val="100"/>
      </c:catAx>
      <c:valAx>
        <c:axId val="61735296"/>
        <c:scaling>
          <c:orientation val="minMax"/>
          <c:max val="100"/>
        </c:scaling>
        <c:axPos val="l"/>
        <c:title>
          <c:tx>
            <c:rich>
              <a:bodyPr rot="-5400000" vert="horz"/>
              <a:lstStyle/>
              <a:p>
                <a:pPr>
                  <a:defRPr/>
                </a:pPr>
                <a:r>
                  <a:rPr lang="en-GB"/>
                  <a:t>Proportion of Students%</a:t>
                </a:r>
              </a:p>
            </c:rich>
          </c:tx>
          <c:layout>
            <c:manualLayout>
              <c:xMode val="edge"/>
              <c:yMode val="edge"/>
              <c:x val="4.8561766658600312E-2"/>
              <c:y val="0.26906991346521647"/>
            </c:manualLayout>
          </c:layout>
        </c:title>
        <c:numFmt formatCode="0" sourceLinked="1"/>
        <c:tickLblPos val="nextTo"/>
        <c:crossAx val="61713024"/>
        <c:crosses val="autoZero"/>
        <c:crossBetween val="between"/>
      </c:valAx>
      <c:spPr>
        <a:noFill/>
        <a:ln w="25400">
          <a:noFill/>
        </a:ln>
      </c:spPr>
    </c:plotArea>
    <c:legend>
      <c:legendPos val="t"/>
      <c:layout>
        <c:manualLayout>
          <c:xMode val="edge"/>
          <c:yMode val="edge"/>
          <c:x val="0.05"/>
          <c:y val="2.4344293483556611E-2"/>
          <c:w val="0.9"/>
          <c:h val="7.3369291750383675E-2"/>
        </c:manualLayout>
      </c:layout>
    </c:legend>
    <c:plotVisOnly val="1"/>
  </c:chart>
  <c:spPr>
    <a:ln>
      <a:noFill/>
    </a:ln>
  </c:spPr>
  <c:txPr>
    <a:bodyPr/>
    <a:lstStyle/>
    <a:p>
      <a:pPr>
        <a:defRPr sz="1200"/>
      </a:pPr>
      <a:endParaRPr lang="en-US"/>
    </a:p>
  </c:tx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en-GB"/>
  <c:style val="4"/>
  <c:chart>
    <c:autoTitleDeleted val="1"/>
    <c:plotArea>
      <c:layout>
        <c:manualLayout>
          <c:layoutTarget val="inner"/>
          <c:xMode val="edge"/>
          <c:yMode val="edge"/>
          <c:x val="0.17334047145789469"/>
          <c:y val="0.12864498807878022"/>
          <c:w val="0.78098677809771599"/>
          <c:h val="0.70128482031349282"/>
        </c:manualLayout>
      </c:layout>
      <c:barChart>
        <c:barDir val="col"/>
        <c:grouping val="clustered"/>
        <c:ser>
          <c:idx val="0"/>
          <c:order val="0"/>
          <c:tx>
            <c:strRef>
              <c:f>Charts1!$S$19</c:f>
              <c:strCache>
                <c:ptCount val="1"/>
                <c:pt idx="0">
                  <c:v>Extenuating population</c:v>
                </c:pt>
              </c:strCache>
            </c:strRef>
          </c:tx>
          <c:spPr>
            <a:solidFill>
              <a:schemeClr val="accent2">
                <a:alpha val="50000"/>
              </a:schemeClr>
            </a:solidFill>
          </c:spPr>
          <c:cat>
            <c:strRef>
              <c:f>Charts1!$R$20:$R$23</c:f>
              <c:strCache>
                <c:ptCount val="4"/>
                <c:pt idx="0">
                  <c:v>White</c:v>
                </c:pt>
                <c:pt idx="1">
                  <c:v>Black</c:v>
                </c:pt>
                <c:pt idx="2">
                  <c:v>Asian</c:v>
                </c:pt>
                <c:pt idx="3">
                  <c:v>Mixed</c:v>
                </c:pt>
              </c:strCache>
            </c:strRef>
          </c:cat>
          <c:val>
            <c:numRef>
              <c:f>Charts1!$S$20:$S$23</c:f>
              <c:numCache>
                <c:formatCode>0</c:formatCode>
                <c:ptCount val="4"/>
                <c:pt idx="0">
                  <c:v>18.971848225214202</c:v>
                </c:pt>
                <c:pt idx="1">
                  <c:v>52.631578947368418</c:v>
                </c:pt>
                <c:pt idx="2">
                  <c:v>23.500611995104038</c:v>
                </c:pt>
                <c:pt idx="3">
                  <c:v>4.8959608323133406</c:v>
                </c:pt>
              </c:numCache>
            </c:numRef>
          </c:val>
        </c:ser>
        <c:ser>
          <c:idx val="1"/>
          <c:order val="1"/>
          <c:tx>
            <c:strRef>
              <c:f>Charts1!$T$19</c:f>
              <c:strCache>
                <c:ptCount val="1"/>
                <c:pt idx="0">
                  <c:v>UEL  enrolment</c:v>
                </c:pt>
              </c:strCache>
            </c:strRef>
          </c:tx>
          <c:spPr>
            <a:solidFill>
              <a:srgbClr val="4F81BD">
                <a:alpha val="50000"/>
              </a:srgbClr>
            </a:solidFill>
          </c:spPr>
          <c:cat>
            <c:strRef>
              <c:f>Charts1!$R$20:$R$23</c:f>
              <c:strCache>
                <c:ptCount val="4"/>
                <c:pt idx="0">
                  <c:v>White</c:v>
                </c:pt>
                <c:pt idx="1">
                  <c:v>Black</c:v>
                </c:pt>
                <c:pt idx="2">
                  <c:v>Asian</c:v>
                </c:pt>
                <c:pt idx="3">
                  <c:v>Mixed</c:v>
                </c:pt>
              </c:strCache>
            </c:strRef>
          </c:cat>
          <c:val>
            <c:numRef>
              <c:f>Charts1!$T$20:$T$23</c:f>
              <c:numCache>
                <c:formatCode>0</c:formatCode>
                <c:ptCount val="4"/>
                <c:pt idx="0">
                  <c:v>30.91112682696841</c:v>
                </c:pt>
                <c:pt idx="1">
                  <c:v>33.398161244695906</c:v>
                </c:pt>
                <c:pt idx="2">
                  <c:v>22.742809995285239</c:v>
                </c:pt>
                <c:pt idx="3">
                  <c:v>12.947901933050447</c:v>
                </c:pt>
              </c:numCache>
            </c:numRef>
          </c:val>
        </c:ser>
        <c:dLbls>
          <c:showVal val="1"/>
        </c:dLbls>
        <c:axId val="61756928"/>
        <c:axId val="61758848"/>
      </c:barChart>
      <c:catAx>
        <c:axId val="61756928"/>
        <c:scaling>
          <c:orientation val="minMax"/>
        </c:scaling>
        <c:axPos val="b"/>
        <c:title>
          <c:tx>
            <c:rich>
              <a:bodyPr/>
              <a:lstStyle/>
              <a:p>
                <a:pPr>
                  <a:defRPr/>
                </a:pPr>
                <a:r>
                  <a:rPr lang="en-GB"/>
                  <a:t>Ethnicity</a:t>
                </a:r>
              </a:p>
            </c:rich>
          </c:tx>
          <c:layout/>
        </c:title>
        <c:numFmt formatCode="General" sourceLinked="1"/>
        <c:tickLblPos val="nextTo"/>
        <c:crossAx val="61758848"/>
        <c:crosses val="autoZero"/>
        <c:auto val="1"/>
        <c:lblAlgn val="ctr"/>
        <c:lblOffset val="100"/>
      </c:catAx>
      <c:valAx>
        <c:axId val="61758848"/>
        <c:scaling>
          <c:orientation val="minMax"/>
          <c:max val="100"/>
        </c:scaling>
        <c:axPos val="l"/>
        <c:title>
          <c:tx>
            <c:rich>
              <a:bodyPr rot="-5400000" vert="horz"/>
              <a:lstStyle/>
              <a:p>
                <a:pPr>
                  <a:defRPr/>
                </a:pPr>
                <a:r>
                  <a:rPr lang="en-GB"/>
                  <a:t>Proportion of Students%</a:t>
                </a:r>
              </a:p>
            </c:rich>
          </c:tx>
          <c:layout>
            <c:manualLayout>
              <c:xMode val="edge"/>
              <c:yMode val="edge"/>
              <c:x val="2.6865557538209805E-2"/>
              <c:y val="0.21814406422280178"/>
            </c:manualLayout>
          </c:layout>
        </c:title>
        <c:numFmt formatCode="0" sourceLinked="1"/>
        <c:tickLblPos val="nextTo"/>
        <c:crossAx val="61756928"/>
        <c:crosses val="autoZero"/>
        <c:crossBetween val="between"/>
      </c:valAx>
      <c:spPr>
        <a:noFill/>
        <a:ln w="25400">
          <a:noFill/>
        </a:ln>
      </c:spPr>
    </c:plotArea>
    <c:legend>
      <c:legendPos val="t"/>
      <c:layout>
        <c:manualLayout>
          <c:xMode val="edge"/>
          <c:yMode val="edge"/>
          <c:x val="0.05"/>
          <c:y val="2.4344293483556611E-2"/>
          <c:w val="0.9"/>
          <c:h val="7.3369291750383578E-2"/>
        </c:manualLayout>
      </c:layout>
    </c:legend>
    <c:plotVisOnly val="1"/>
  </c:chart>
  <c:spPr>
    <a:ln>
      <a:noFill/>
    </a:ln>
  </c:spPr>
  <c:txPr>
    <a:bodyPr/>
    <a:lstStyle/>
    <a:p>
      <a:pPr>
        <a:defRPr sz="1200"/>
      </a:pPr>
      <a:endParaRPr lang="en-US"/>
    </a:p>
  </c:tx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en-GB"/>
  <c:style val="4"/>
  <c:chart>
    <c:autoTitleDeleted val="1"/>
    <c:plotArea>
      <c:layout>
        <c:manualLayout>
          <c:layoutTarget val="inner"/>
          <c:xMode val="edge"/>
          <c:yMode val="edge"/>
          <c:x val="0.22862524720227881"/>
          <c:y val="0.11775668296218317"/>
          <c:w val="0.73217028722473565"/>
          <c:h val="0.70128482031349348"/>
        </c:manualLayout>
      </c:layout>
      <c:barChart>
        <c:barDir val="col"/>
        <c:grouping val="clustered"/>
        <c:ser>
          <c:idx val="0"/>
          <c:order val="0"/>
          <c:tx>
            <c:strRef>
              <c:f>'201011-201112'!$Q$5</c:f>
              <c:strCache>
                <c:ptCount val="1"/>
                <c:pt idx="0">
                  <c:v>Extenuating population</c:v>
                </c:pt>
              </c:strCache>
            </c:strRef>
          </c:tx>
          <c:spPr>
            <a:solidFill>
              <a:schemeClr val="accent2">
                <a:alpha val="50000"/>
              </a:schemeClr>
            </a:solidFill>
          </c:spPr>
          <c:cat>
            <c:strRef>
              <c:f>'201011-201112'!$P$28:$P$31</c:f>
              <c:strCache>
                <c:ptCount val="4"/>
                <c:pt idx="0">
                  <c:v>White</c:v>
                </c:pt>
                <c:pt idx="1">
                  <c:v>Black</c:v>
                </c:pt>
                <c:pt idx="2">
                  <c:v>Asian</c:v>
                </c:pt>
                <c:pt idx="3">
                  <c:v>Mixed </c:v>
                </c:pt>
              </c:strCache>
            </c:strRef>
          </c:cat>
          <c:val>
            <c:numRef>
              <c:f>'201011-201112'!$Q$28:$Q$31</c:f>
              <c:numCache>
                <c:formatCode>0</c:formatCode>
                <c:ptCount val="4"/>
                <c:pt idx="0">
                  <c:v>22.289890377588293</c:v>
                </c:pt>
                <c:pt idx="1">
                  <c:v>47.015834348355661</c:v>
                </c:pt>
                <c:pt idx="2">
                  <c:v>21.924482338611437</c:v>
                </c:pt>
                <c:pt idx="3">
                  <c:v>8.7697929354445794</c:v>
                </c:pt>
              </c:numCache>
            </c:numRef>
          </c:val>
        </c:ser>
        <c:ser>
          <c:idx val="1"/>
          <c:order val="1"/>
          <c:tx>
            <c:strRef>
              <c:f>'201011-201112'!$R$5</c:f>
              <c:strCache>
                <c:ptCount val="1"/>
                <c:pt idx="0">
                  <c:v>UEL enrolment</c:v>
                </c:pt>
              </c:strCache>
            </c:strRef>
          </c:tx>
          <c:spPr>
            <a:solidFill>
              <a:srgbClr val="4F81BD">
                <a:alpha val="50000"/>
              </a:srgbClr>
            </a:solidFill>
          </c:spPr>
          <c:cat>
            <c:strRef>
              <c:f>'201011-201112'!$P$28:$P$31</c:f>
              <c:strCache>
                <c:ptCount val="4"/>
                <c:pt idx="0">
                  <c:v>White</c:v>
                </c:pt>
                <c:pt idx="1">
                  <c:v>Black</c:v>
                </c:pt>
                <c:pt idx="2">
                  <c:v>Asian</c:v>
                </c:pt>
                <c:pt idx="3">
                  <c:v>Mixed </c:v>
                </c:pt>
              </c:strCache>
            </c:strRef>
          </c:cat>
          <c:val>
            <c:numRef>
              <c:f>'201011-201112'!$R$28:$R$31</c:f>
              <c:numCache>
                <c:formatCode>0</c:formatCode>
                <c:ptCount val="4"/>
                <c:pt idx="0">
                  <c:v>32.042009466844164</c:v>
                </c:pt>
                <c:pt idx="1">
                  <c:v>32.5204960993659</c:v>
                </c:pt>
                <c:pt idx="2">
                  <c:v>22.845662338897959</c:v>
                </c:pt>
                <c:pt idx="3">
                  <c:v>12.59183209489192</c:v>
                </c:pt>
              </c:numCache>
            </c:numRef>
          </c:val>
        </c:ser>
        <c:dLbls>
          <c:showVal val="1"/>
        </c:dLbls>
        <c:axId val="61797120"/>
        <c:axId val="61799040"/>
      </c:barChart>
      <c:catAx>
        <c:axId val="61797120"/>
        <c:scaling>
          <c:orientation val="minMax"/>
        </c:scaling>
        <c:axPos val="b"/>
        <c:title>
          <c:tx>
            <c:rich>
              <a:bodyPr/>
              <a:lstStyle/>
              <a:p>
                <a:pPr>
                  <a:defRPr/>
                </a:pPr>
                <a:r>
                  <a:rPr lang="en-US"/>
                  <a:t>Ethnicity</a:t>
                </a:r>
              </a:p>
            </c:rich>
          </c:tx>
          <c:layout/>
        </c:title>
        <c:numFmt formatCode="General" sourceLinked="1"/>
        <c:tickLblPos val="nextTo"/>
        <c:crossAx val="61799040"/>
        <c:crosses val="autoZero"/>
        <c:auto val="1"/>
        <c:lblAlgn val="ctr"/>
        <c:lblOffset val="100"/>
      </c:catAx>
      <c:valAx>
        <c:axId val="61799040"/>
        <c:scaling>
          <c:orientation val="minMax"/>
          <c:max val="100"/>
        </c:scaling>
        <c:axPos val="l"/>
        <c:title>
          <c:tx>
            <c:rich>
              <a:bodyPr rot="-5400000" vert="horz"/>
              <a:lstStyle/>
              <a:p>
                <a:pPr>
                  <a:defRPr/>
                </a:pPr>
                <a:r>
                  <a:rPr lang="en-GB"/>
                  <a:t>Proportion of Students%</a:t>
                </a:r>
              </a:p>
            </c:rich>
          </c:tx>
          <c:layout>
            <c:manualLayout>
              <c:xMode val="edge"/>
              <c:yMode val="edge"/>
              <c:x val="4.8561766658600312E-2"/>
              <c:y val="0.26906991346521647"/>
            </c:manualLayout>
          </c:layout>
        </c:title>
        <c:numFmt formatCode="0" sourceLinked="1"/>
        <c:tickLblPos val="nextTo"/>
        <c:crossAx val="61797120"/>
        <c:crosses val="autoZero"/>
        <c:crossBetween val="between"/>
      </c:valAx>
      <c:spPr>
        <a:noFill/>
        <a:ln w="25400">
          <a:noFill/>
        </a:ln>
      </c:spPr>
    </c:plotArea>
    <c:legend>
      <c:legendPos val="t"/>
      <c:layout>
        <c:manualLayout>
          <c:xMode val="edge"/>
          <c:yMode val="edge"/>
          <c:x val="0.05"/>
          <c:y val="2.4344293483556611E-2"/>
          <c:w val="0.9"/>
          <c:h val="7.3369291750383675E-2"/>
        </c:manualLayout>
      </c:layout>
    </c:legend>
    <c:plotVisOnly val="1"/>
  </c:chart>
  <c:spPr>
    <a:ln>
      <a:noFill/>
    </a:ln>
  </c:spPr>
  <c:txPr>
    <a:bodyPr/>
    <a:lstStyle/>
    <a:p>
      <a:pPr>
        <a:defRPr sz="1200"/>
      </a:pPr>
      <a:endParaRPr lang="en-US"/>
    </a:p>
  </c:tx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en-GB"/>
  <c:style val="4"/>
  <c:chart>
    <c:autoTitleDeleted val="1"/>
    <c:plotArea>
      <c:layout>
        <c:manualLayout>
          <c:layoutTarget val="inner"/>
          <c:xMode val="edge"/>
          <c:yMode val="edge"/>
          <c:x val="0.22215694669372005"/>
          <c:y val="0.12864498807878022"/>
          <c:w val="0.73217028722473565"/>
          <c:h val="0.70128482031349382"/>
        </c:manualLayout>
      </c:layout>
      <c:barChart>
        <c:barDir val="col"/>
        <c:grouping val="clustered"/>
        <c:ser>
          <c:idx val="0"/>
          <c:order val="0"/>
          <c:tx>
            <c:strRef>
              <c:f>'201011-201112'!$S$5</c:f>
              <c:strCache>
                <c:ptCount val="1"/>
                <c:pt idx="0">
                  <c:v>Extenuating population</c:v>
                </c:pt>
              </c:strCache>
            </c:strRef>
          </c:tx>
          <c:spPr>
            <a:solidFill>
              <a:schemeClr val="accent2">
                <a:alpha val="50000"/>
              </a:schemeClr>
            </a:solidFill>
          </c:spPr>
          <c:cat>
            <c:strRef>
              <c:f>'201011-201112'!$P$28:$P$31</c:f>
              <c:strCache>
                <c:ptCount val="4"/>
                <c:pt idx="0">
                  <c:v>White</c:v>
                </c:pt>
                <c:pt idx="1">
                  <c:v>Black</c:v>
                </c:pt>
                <c:pt idx="2">
                  <c:v>Asian</c:v>
                </c:pt>
                <c:pt idx="3">
                  <c:v>Mixed </c:v>
                </c:pt>
              </c:strCache>
            </c:strRef>
          </c:cat>
          <c:val>
            <c:numRef>
              <c:f>'201011-201112'!$S$28:$S$31</c:f>
              <c:numCache>
                <c:formatCode>0</c:formatCode>
                <c:ptCount val="4"/>
                <c:pt idx="0">
                  <c:v>16.431924882629094</c:v>
                </c:pt>
                <c:pt idx="1">
                  <c:v>51.291079812206576</c:v>
                </c:pt>
                <c:pt idx="2">
                  <c:v>25.117370892018801</c:v>
                </c:pt>
                <c:pt idx="3">
                  <c:v>7.1596244131455409</c:v>
                </c:pt>
              </c:numCache>
            </c:numRef>
          </c:val>
        </c:ser>
        <c:ser>
          <c:idx val="1"/>
          <c:order val="1"/>
          <c:tx>
            <c:strRef>
              <c:f>'201011-201112'!$T$5</c:f>
              <c:strCache>
                <c:ptCount val="1"/>
                <c:pt idx="0">
                  <c:v>UEL enrolment</c:v>
                </c:pt>
              </c:strCache>
            </c:strRef>
          </c:tx>
          <c:spPr>
            <a:solidFill>
              <a:srgbClr val="4F81BD">
                <a:alpha val="50000"/>
              </a:srgbClr>
            </a:solidFill>
          </c:spPr>
          <c:cat>
            <c:strRef>
              <c:f>'201011-201112'!$P$28:$P$31</c:f>
              <c:strCache>
                <c:ptCount val="4"/>
                <c:pt idx="0">
                  <c:v>White</c:v>
                </c:pt>
                <c:pt idx="1">
                  <c:v>Black</c:v>
                </c:pt>
                <c:pt idx="2">
                  <c:v>Asian</c:v>
                </c:pt>
                <c:pt idx="3">
                  <c:v>Mixed </c:v>
                </c:pt>
              </c:strCache>
            </c:strRef>
          </c:cat>
          <c:val>
            <c:numRef>
              <c:f>'201011-201112'!$T$28:$T$31</c:f>
              <c:numCache>
                <c:formatCode>0</c:formatCode>
                <c:ptCount val="4"/>
                <c:pt idx="0">
                  <c:v>30.494521092374935</c:v>
                </c:pt>
                <c:pt idx="1">
                  <c:v>32.924544370635324</c:v>
                </c:pt>
                <c:pt idx="2">
                  <c:v>24.254811786748441</c:v>
                </c:pt>
                <c:pt idx="3">
                  <c:v>12.3261227502413</c:v>
                </c:pt>
              </c:numCache>
            </c:numRef>
          </c:val>
        </c:ser>
        <c:dLbls>
          <c:showVal val="1"/>
        </c:dLbls>
        <c:axId val="114036736"/>
        <c:axId val="114038656"/>
      </c:barChart>
      <c:catAx>
        <c:axId val="114036736"/>
        <c:scaling>
          <c:orientation val="minMax"/>
        </c:scaling>
        <c:axPos val="b"/>
        <c:title>
          <c:tx>
            <c:rich>
              <a:bodyPr/>
              <a:lstStyle/>
              <a:p>
                <a:pPr>
                  <a:defRPr/>
                </a:pPr>
                <a:r>
                  <a:rPr lang="en-US"/>
                  <a:t>Ethnicity 2010/11</a:t>
                </a:r>
              </a:p>
            </c:rich>
          </c:tx>
          <c:layout/>
        </c:title>
        <c:numFmt formatCode="General" sourceLinked="1"/>
        <c:tickLblPos val="nextTo"/>
        <c:crossAx val="114038656"/>
        <c:crosses val="autoZero"/>
        <c:auto val="1"/>
        <c:lblAlgn val="ctr"/>
        <c:lblOffset val="100"/>
      </c:catAx>
      <c:valAx>
        <c:axId val="114038656"/>
        <c:scaling>
          <c:orientation val="minMax"/>
          <c:max val="100"/>
        </c:scaling>
        <c:axPos val="l"/>
        <c:title>
          <c:tx>
            <c:rich>
              <a:bodyPr rot="-5400000" vert="horz"/>
              <a:lstStyle/>
              <a:p>
                <a:pPr>
                  <a:defRPr/>
                </a:pPr>
                <a:r>
                  <a:rPr lang="en-GB"/>
                  <a:t>Proportion of Students%</a:t>
                </a:r>
              </a:p>
            </c:rich>
          </c:tx>
          <c:layout>
            <c:manualLayout>
              <c:xMode val="edge"/>
              <c:yMode val="edge"/>
              <c:x val="4.8561766658600312E-2"/>
              <c:y val="0.26906991346521647"/>
            </c:manualLayout>
          </c:layout>
        </c:title>
        <c:numFmt formatCode="0" sourceLinked="1"/>
        <c:tickLblPos val="nextTo"/>
        <c:crossAx val="114036736"/>
        <c:crosses val="autoZero"/>
        <c:crossBetween val="between"/>
      </c:valAx>
      <c:spPr>
        <a:noFill/>
        <a:ln w="25400">
          <a:noFill/>
        </a:ln>
      </c:spPr>
    </c:plotArea>
    <c:legend>
      <c:legendPos val="t"/>
      <c:layout>
        <c:manualLayout>
          <c:xMode val="edge"/>
          <c:yMode val="edge"/>
          <c:x val="0.05"/>
          <c:y val="2.4344293483556611E-2"/>
          <c:w val="0.9"/>
          <c:h val="7.3369291750383717E-2"/>
        </c:manualLayout>
      </c:layout>
    </c:legend>
    <c:plotVisOnly val="1"/>
  </c:chart>
  <c:spPr>
    <a:ln>
      <a:noFill/>
    </a:ln>
  </c:spPr>
  <c:txPr>
    <a:bodyPr/>
    <a:lstStyle/>
    <a:p>
      <a:pPr>
        <a:defRPr sz="1200"/>
      </a:pPr>
      <a:endParaRPr lang="en-US"/>
    </a:p>
  </c:txPr>
  <c:externalData r:id="rId1"/>
</c:chartSpace>
</file>

<file path=word/charts/chart14.xml><?xml version="1.0" encoding="utf-8"?>
<c:chartSpace xmlns:c="http://schemas.openxmlformats.org/drawingml/2006/chart" xmlns:a="http://schemas.openxmlformats.org/drawingml/2006/main" xmlns:r="http://schemas.openxmlformats.org/officeDocument/2006/relationships">
  <c:lang val="en-GB"/>
  <c:style val="4"/>
  <c:chart>
    <c:autoTitleDeleted val="1"/>
    <c:plotArea>
      <c:layout>
        <c:manualLayout>
          <c:layoutTarget val="inner"/>
          <c:xMode val="edge"/>
          <c:yMode val="edge"/>
          <c:x val="9.2633811254515183E-2"/>
          <c:y val="0.12864502531628916"/>
          <c:w val="0.87137873278349898"/>
          <c:h val="0.6435590886853596"/>
        </c:manualLayout>
      </c:layout>
      <c:barChart>
        <c:barDir val="col"/>
        <c:grouping val="clustered"/>
        <c:ser>
          <c:idx val="0"/>
          <c:order val="0"/>
          <c:tx>
            <c:strRef>
              <c:f>Charts2!$C$8</c:f>
              <c:strCache>
                <c:ptCount val="1"/>
                <c:pt idx="0">
                  <c:v>Extenuating population</c:v>
                </c:pt>
              </c:strCache>
            </c:strRef>
          </c:tx>
          <c:spPr>
            <a:solidFill>
              <a:schemeClr val="accent2">
                <a:alpha val="50000"/>
              </a:schemeClr>
            </a:solidFill>
          </c:spPr>
          <c:cat>
            <c:strRef>
              <c:f>Charts2!$B$9:$B$11</c:f>
              <c:strCache>
                <c:ptCount val="3"/>
                <c:pt idx="0">
                  <c:v>A specific learning difficulty such as dyslexia, dyspraxia or AD(H)D</c:v>
                </c:pt>
                <c:pt idx="1">
                  <c:v>Disability (excl specific learning difficulty)</c:v>
                </c:pt>
                <c:pt idx="2">
                  <c:v>No known disability</c:v>
                </c:pt>
              </c:strCache>
            </c:strRef>
          </c:cat>
          <c:val>
            <c:numRef>
              <c:f>Charts2!$C$9:$C$11</c:f>
              <c:numCache>
                <c:formatCode>0</c:formatCode>
                <c:ptCount val="3"/>
                <c:pt idx="0">
                  <c:v>7.4226804123711352</c:v>
                </c:pt>
                <c:pt idx="1">
                  <c:v>15.463917525773196</c:v>
                </c:pt>
                <c:pt idx="2">
                  <c:v>77.11340206185568</c:v>
                </c:pt>
              </c:numCache>
            </c:numRef>
          </c:val>
        </c:ser>
        <c:ser>
          <c:idx val="1"/>
          <c:order val="1"/>
          <c:tx>
            <c:strRef>
              <c:f>Charts2!$D$8</c:f>
              <c:strCache>
                <c:ptCount val="1"/>
                <c:pt idx="0">
                  <c:v>UEL enrolment</c:v>
                </c:pt>
              </c:strCache>
            </c:strRef>
          </c:tx>
          <c:spPr>
            <a:solidFill>
              <a:srgbClr val="4F81BD">
                <a:alpha val="50000"/>
              </a:srgbClr>
            </a:solidFill>
          </c:spPr>
          <c:cat>
            <c:strRef>
              <c:f>Charts2!$B$9:$B$11</c:f>
              <c:strCache>
                <c:ptCount val="3"/>
                <c:pt idx="0">
                  <c:v>A specific learning difficulty such as dyslexia, dyspraxia or AD(H)D</c:v>
                </c:pt>
                <c:pt idx="1">
                  <c:v>Disability (excl specific learning difficulty)</c:v>
                </c:pt>
                <c:pt idx="2">
                  <c:v>No known disability</c:v>
                </c:pt>
              </c:strCache>
            </c:strRef>
          </c:cat>
          <c:val>
            <c:numRef>
              <c:f>Charts2!$D$9:$D$11</c:f>
              <c:numCache>
                <c:formatCode>0</c:formatCode>
                <c:ptCount val="3"/>
                <c:pt idx="0">
                  <c:v>4</c:v>
                </c:pt>
                <c:pt idx="1">
                  <c:v>4</c:v>
                </c:pt>
                <c:pt idx="2">
                  <c:v>92</c:v>
                </c:pt>
              </c:numCache>
            </c:numRef>
          </c:val>
        </c:ser>
        <c:dLbls>
          <c:showVal val="1"/>
        </c:dLbls>
        <c:axId val="114048000"/>
        <c:axId val="114082560"/>
      </c:barChart>
      <c:catAx>
        <c:axId val="114048000"/>
        <c:scaling>
          <c:orientation val="minMax"/>
        </c:scaling>
        <c:axPos val="b"/>
        <c:title>
          <c:tx>
            <c:rich>
              <a:bodyPr/>
              <a:lstStyle/>
              <a:p>
                <a:pPr>
                  <a:defRPr/>
                </a:pPr>
                <a:r>
                  <a:rPr lang="en-GB"/>
                  <a:t>Disability</a:t>
                </a:r>
              </a:p>
            </c:rich>
          </c:tx>
          <c:layout/>
        </c:title>
        <c:numFmt formatCode="General" sourceLinked="1"/>
        <c:tickLblPos val="nextTo"/>
        <c:crossAx val="114082560"/>
        <c:crosses val="autoZero"/>
        <c:auto val="1"/>
        <c:lblAlgn val="ctr"/>
        <c:lblOffset val="100"/>
      </c:catAx>
      <c:valAx>
        <c:axId val="114082560"/>
        <c:scaling>
          <c:orientation val="minMax"/>
          <c:max val="100"/>
        </c:scaling>
        <c:axPos val="l"/>
        <c:title>
          <c:tx>
            <c:rich>
              <a:bodyPr rot="-5400000" vert="horz"/>
              <a:lstStyle/>
              <a:p>
                <a:pPr>
                  <a:defRPr/>
                </a:pPr>
                <a:r>
                  <a:rPr lang="en-GB"/>
                  <a:t>Proportion of Students%</a:t>
                </a:r>
              </a:p>
            </c:rich>
          </c:tx>
          <c:layout>
            <c:manualLayout>
              <c:xMode val="edge"/>
              <c:yMode val="edge"/>
              <c:x val="2.6601263861225299E-3"/>
              <c:y val="0.26603167616201945"/>
            </c:manualLayout>
          </c:layout>
        </c:title>
        <c:numFmt formatCode="0" sourceLinked="1"/>
        <c:tickLblPos val="nextTo"/>
        <c:crossAx val="114048000"/>
        <c:crosses val="autoZero"/>
        <c:crossBetween val="between"/>
      </c:valAx>
      <c:spPr>
        <a:noFill/>
        <a:ln w="25400">
          <a:noFill/>
        </a:ln>
      </c:spPr>
    </c:plotArea>
    <c:legend>
      <c:legendPos val="t"/>
      <c:layout>
        <c:manualLayout>
          <c:xMode val="edge"/>
          <c:yMode val="edge"/>
          <c:x val="0.05"/>
          <c:y val="2.4344293483556611E-2"/>
          <c:w val="0.9"/>
          <c:h val="7.3369291750383578E-2"/>
        </c:manualLayout>
      </c:layout>
    </c:legend>
    <c:plotVisOnly val="1"/>
  </c:chart>
  <c:spPr>
    <a:ln>
      <a:noFill/>
    </a:ln>
  </c:spPr>
  <c:txPr>
    <a:bodyPr/>
    <a:lstStyle/>
    <a:p>
      <a:pPr>
        <a:defRPr sz="1200"/>
      </a:pPr>
      <a:endParaRPr lang="en-US"/>
    </a:p>
  </c:txPr>
  <c:externalData r:id="rId1"/>
</c:chartSpace>
</file>

<file path=word/charts/chart15.xml><?xml version="1.0" encoding="utf-8"?>
<c:chartSpace xmlns:c="http://schemas.openxmlformats.org/drawingml/2006/chart" xmlns:a="http://schemas.openxmlformats.org/drawingml/2006/main" xmlns:r="http://schemas.openxmlformats.org/officeDocument/2006/relationships">
  <c:date1904 val="1"/>
  <c:lang val="en-GB"/>
  <c:style val="4"/>
  <c:chart>
    <c:autoTitleDeleted val="1"/>
    <c:plotArea>
      <c:layout>
        <c:manualLayout>
          <c:layoutTarget val="inner"/>
          <c:xMode val="edge"/>
          <c:yMode val="edge"/>
          <c:x val="0.13593879014460086"/>
          <c:y val="0.13227466327188137"/>
          <c:w val="0.84040699819684339"/>
          <c:h val="0.56695333741964882"/>
        </c:manualLayout>
      </c:layout>
      <c:barChart>
        <c:barDir val="col"/>
        <c:grouping val="clustered"/>
        <c:ser>
          <c:idx val="0"/>
          <c:order val="0"/>
          <c:tx>
            <c:strRef>
              <c:f>'201011-201112'!$Q$5</c:f>
              <c:strCache>
                <c:ptCount val="1"/>
                <c:pt idx="0">
                  <c:v>Extenuating population</c:v>
                </c:pt>
              </c:strCache>
            </c:strRef>
          </c:tx>
          <c:spPr>
            <a:solidFill>
              <a:schemeClr val="accent2">
                <a:alpha val="50000"/>
              </a:schemeClr>
            </a:solidFill>
          </c:spPr>
          <c:cat>
            <c:strRef>
              <c:f>'201011-201112'!$P$53:$P$55</c:f>
              <c:strCache>
                <c:ptCount val="3"/>
                <c:pt idx="0">
                  <c:v>A specific learning difficulty such as dyslexia, dyspraxia or AD(H)D</c:v>
                </c:pt>
                <c:pt idx="1">
                  <c:v>Disability (excl specific learning difficulty)</c:v>
                </c:pt>
                <c:pt idx="2">
                  <c:v>No known disability</c:v>
                </c:pt>
              </c:strCache>
            </c:strRef>
          </c:cat>
          <c:val>
            <c:numRef>
              <c:f>'201011-201112'!$Q$53:$Q$55</c:f>
              <c:numCache>
                <c:formatCode>0</c:formatCode>
                <c:ptCount val="3"/>
                <c:pt idx="0">
                  <c:v>10.583153347732175</c:v>
                </c:pt>
                <c:pt idx="1">
                  <c:v>11.987041036717066</c:v>
                </c:pt>
                <c:pt idx="2">
                  <c:v>77.429805615550748</c:v>
                </c:pt>
              </c:numCache>
            </c:numRef>
          </c:val>
        </c:ser>
        <c:ser>
          <c:idx val="1"/>
          <c:order val="1"/>
          <c:tx>
            <c:strRef>
              <c:f>'201011-201112'!$R$5</c:f>
              <c:strCache>
                <c:ptCount val="1"/>
                <c:pt idx="0">
                  <c:v>UEL enrolment</c:v>
                </c:pt>
              </c:strCache>
            </c:strRef>
          </c:tx>
          <c:spPr>
            <a:solidFill>
              <a:srgbClr val="4F81BD">
                <a:alpha val="50000"/>
              </a:srgbClr>
            </a:solidFill>
          </c:spPr>
          <c:cat>
            <c:strRef>
              <c:f>'201011-201112'!$P$53:$P$55</c:f>
              <c:strCache>
                <c:ptCount val="3"/>
                <c:pt idx="0">
                  <c:v>A specific learning difficulty such as dyslexia, dyspraxia or AD(H)D</c:v>
                </c:pt>
                <c:pt idx="1">
                  <c:v>Disability (excl specific learning difficulty)</c:v>
                </c:pt>
                <c:pt idx="2">
                  <c:v>No known disability</c:v>
                </c:pt>
              </c:strCache>
            </c:strRef>
          </c:cat>
          <c:val>
            <c:numRef>
              <c:f>'201011-201112'!$R$53:$R$55</c:f>
              <c:numCache>
                <c:formatCode>0</c:formatCode>
                <c:ptCount val="3"/>
                <c:pt idx="0">
                  <c:v>4.5108050245036564</c:v>
                </c:pt>
                <c:pt idx="1">
                  <c:v>3.7006372622811017</c:v>
                </c:pt>
                <c:pt idx="2">
                  <c:v>91.788557713215241</c:v>
                </c:pt>
              </c:numCache>
            </c:numRef>
          </c:val>
        </c:ser>
        <c:dLbls>
          <c:showVal val="1"/>
        </c:dLbls>
        <c:axId val="114239360"/>
        <c:axId val="114249728"/>
      </c:barChart>
      <c:catAx>
        <c:axId val="114239360"/>
        <c:scaling>
          <c:orientation val="minMax"/>
        </c:scaling>
        <c:axPos val="b"/>
        <c:title>
          <c:tx>
            <c:rich>
              <a:bodyPr/>
              <a:lstStyle/>
              <a:p>
                <a:pPr>
                  <a:defRPr/>
                </a:pPr>
                <a:r>
                  <a:rPr lang="en-US"/>
                  <a:t>Disability</a:t>
                </a:r>
              </a:p>
            </c:rich>
          </c:tx>
          <c:layout/>
        </c:title>
        <c:numFmt formatCode="General" sourceLinked="1"/>
        <c:tickLblPos val="nextTo"/>
        <c:crossAx val="114249728"/>
        <c:crosses val="autoZero"/>
        <c:auto val="1"/>
        <c:lblAlgn val="ctr"/>
        <c:lblOffset val="100"/>
      </c:catAx>
      <c:valAx>
        <c:axId val="114249728"/>
        <c:scaling>
          <c:orientation val="minMax"/>
          <c:max val="100"/>
        </c:scaling>
        <c:axPos val="l"/>
        <c:title>
          <c:tx>
            <c:rich>
              <a:bodyPr rot="-5400000" vert="horz"/>
              <a:lstStyle/>
              <a:p>
                <a:pPr>
                  <a:defRPr/>
                </a:pPr>
                <a:r>
                  <a:rPr lang="en-GB"/>
                  <a:t>Proportion of Students%</a:t>
                </a:r>
              </a:p>
            </c:rich>
          </c:tx>
          <c:layout>
            <c:manualLayout>
              <c:xMode val="edge"/>
              <c:yMode val="edge"/>
              <c:x val="4.8561721561993079E-2"/>
              <c:y val="0.18124569758121598"/>
            </c:manualLayout>
          </c:layout>
        </c:title>
        <c:numFmt formatCode="0" sourceLinked="1"/>
        <c:tickLblPos val="nextTo"/>
        <c:crossAx val="114239360"/>
        <c:crosses val="autoZero"/>
        <c:crossBetween val="between"/>
      </c:valAx>
      <c:spPr>
        <a:noFill/>
        <a:ln w="25400">
          <a:noFill/>
        </a:ln>
      </c:spPr>
    </c:plotArea>
    <c:legend>
      <c:legendPos val="t"/>
      <c:layout>
        <c:manualLayout>
          <c:xMode val="edge"/>
          <c:yMode val="edge"/>
          <c:x val="0.05"/>
          <c:y val="2.4344293483556611E-2"/>
          <c:w val="0.9"/>
          <c:h val="7.3369291750383717E-2"/>
        </c:manualLayout>
      </c:layout>
    </c:legend>
    <c:plotVisOnly val="1"/>
  </c:chart>
  <c:spPr>
    <a:ln>
      <a:noFill/>
    </a:ln>
  </c:spPr>
  <c:txPr>
    <a:bodyPr/>
    <a:lstStyle/>
    <a:p>
      <a:pPr>
        <a:defRPr sz="1200"/>
      </a:pPr>
      <a:endParaRPr lang="en-US"/>
    </a:p>
  </c:txPr>
  <c:externalData r:id="rId1"/>
</c:chartSpace>
</file>

<file path=word/charts/chart16.xml><?xml version="1.0" encoding="utf-8"?>
<c:chartSpace xmlns:c="http://schemas.openxmlformats.org/drawingml/2006/chart" xmlns:a="http://schemas.openxmlformats.org/drawingml/2006/main" xmlns:r="http://schemas.openxmlformats.org/officeDocument/2006/relationships">
  <c:date1904 val="1"/>
  <c:lang val="en-GB"/>
  <c:style val="4"/>
  <c:chart>
    <c:autoTitleDeleted val="1"/>
    <c:plotArea>
      <c:layout>
        <c:manualLayout>
          <c:layoutTarget val="inner"/>
          <c:xMode val="edge"/>
          <c:yMode val="edge"/>
          <c:x val="0.13593879014460092"/>
          <c:y val="0.13227466327188137"/>
          <c:w val="0.84040699819684339"/>
          <c:h val="0.56695333741964882"/>
        </c:manualLayout>
      </c:layout>
      <c:barChart>
        <c:barDir val="col"/>
        <c:grouping val="clustered"/>
        <c:ser>
          <c:idx val="0"/>
          <c:order val="0"/>
          <c:tx>
            <c:strRef>
              <c:f>'201011-201112'!$S$5</c:f>
              <c:strCache>
                <c:ptCount val="1"/>
                <c:pt idx="0">
                  <c:v>Extenuating population</c:v>
                </c:pt>
              </c:strCache>
            </c:strRef>
          </c:tx>
          <c:spPr>
            <a:solidFill>
              <a:schemeClr val="accent2">
                <a:alpha val="50000"/>
              </a:schemeClr>
            </a:solidFill>
          </c:spPr>
          <c:cat>
            <c:strRef>
              <c:f>'201011-201112'!$P$53:$P$55</c:f>
              <c:strCache>
                <c:ptCount val="3"/>
                <c:pt idx="0">
                  <c:v>A specific learning difficulty such as dyslexia, dyspraxia or AD(H)D</c:v>
                </c:pt>
                <c:pt idx="1">
                  <c:v>Disability (excl specific learning difficulty)</c:v>
                </c:pt>
                <c:pt idx="2">
                  <c:v>No known disability</c:v>
                </c:pt>
              </c:strCache>
            </c:strRef>
          </c:cat>
          <c:val>
            <c:numRef>
              <c:f>'201011-201112'!$S$53:$S$55</c:f>
              <c:numCache>
                <c:formatCode>0</c:formatCode>
                <c:ptCount val="3"/>
                <c:pt idx="0">
                  <c:v>7.3385518590998</c:v>
                </c:pt>
                <c:pt idx="1">
                  <c:v>9.2954990215264228</c:v>
                </c:pt>
                <c:pt idx="2">
                  <c:v>83.365949119373752</c:v>
                </c:pt>
              </c:numCache>
            </c:numRef>
          </c:val>
        </c:ser>
        <c:ser>
          <c:idx val="1"/>
          <c:order val="1"/>
          <c:tx>
            <c:strRef>
              <c:f>'201011-201112'!$T$5</c:f>
              <c:strCache>
                <c:ptCount val="1"/>
                <c:pt idx="0">
                  <c:v>UEL enrolment</c:v>
                </c:pt>
              </c:strCache>
            </c:strRef>
          </c:tx>
          <c:spPr>
            <a:solidFill>
              <a:srgbClr val="4F81BD">
                <a:alpha val="50000"/>
              </a:srgbClr>
            </a:solidFill>
          </c:spPr>
          <c:cat>
            <c:strRef>
              <c:f>'201011-201112'!$P$53:$P$55</c:f>
              <c:strCache>
                <c:ptCount val="3"/>
                <c:pt idx="0">
                  <c:v>A specific learning difficulty such as dyslexia, dyspraxia or AD(H)D</c:v>
                </c:pt>
                <c:pt idx="1">
                  <c:v>Disability (excl specific learning difficulty)</c:v>
                </c:pt>
                <c:pt idx="2">
                  <c:v>No known disability</c:v>
                </c:pt>
              </c:strCache>
            </c:strRef>
          </c:cat>
          <c:val>
            <c:numRef>
              <c:f>'201011-201112'!$T$53:$T$55</c:f>
              <c:numCache>
                <c:formatCode>0</c:formatCode>
                <c:ptCount val="3"/>
                <c:pt idx="0">
                  <c:v>4.2065532520102842</c:v>
                </c:pt>
                <c:pt idx="1">
                  <c:v>3.23833488321208</c:v>
                </c:pt>
                <c:pt idx="2">
                  <c:v>92.555111864777643</c:v>
                </c:pt>
              </c:numCache>
            </c:numRef>
          </c:val>
        </c:ser>
        <c:dLbls>
          <c:showVal val="1"/>
        </c:dLbls>
        <c:axId val="114275456"/>
        <c:axId val="114277376"/>
      </c:barChart>
      <c:catAx>
        <c:axId val="114275456"/>
        <c:scaling>
          <c:orientation val="minMax"/>
        </c:scaling>
        <c:axPos val="b"/>
        <c:title>
          <c:tx>
            <c:rich>
              <a:bodyPr/>
              <a:lstStyle/>
              <a:p>
                <a:pPr>
                  <a:defRPr/>
                </a:pPr>
                <a:r>
                  <a:rPr lang="en-US"/>
                  <a:t>Disability </a:t>
                </a:r>
              </a:p>
            </c:rich>
          </c:tx>
          <c:layout/>
        </c:title>
        <c:numFmt formatCode="General" sourceLinked="1"/>
        <c:tickLblPos val="nextTo"/>
        <c:crossAx val="114277376"/>
        <c:crosses val="autoZero"/>
        <c:auto val="1"/>
        <c:lblAlgn val="ctr"/>
        <c:lblOffset val="100"/>
      </c:catAx>
      <c:valAx>
        <c:axId val="114277376"/>
        <c:scaling>
          <c:orientation val="minMax"/>
          <c:max val="100"/>
        </c:scaling>
        <c:axPos val="l"/>
        <c:title>
          <c:tx>
            <c:rich>
              <a:bodyPr rot="-5400000" vert="horz"/>
              <a:lstStyle/>
              <a:p>
                <a:pPr>
                  <a:defRPr/>
                </a:pPr>
                <a:r>
                  <a:rPr lang="en-GB"/>
                  <a:t>Proportion of Students%</a:t>
                </a:r>
              </a:p>
            </c:rich>
          </c:tx>
          <c:layout>
            <c:manualLayout>
              <c:xMode val="edge"/>
              <c:yMode val="edge"/>
              <c:x val="4.8561721561993079E-2"/>
              <c:y val="0.18124569758121609"/>
            </c:manualLayout>
          </c:layout>
        </c:title>
        <c:numFmt formatCode="0" sourceLinked="1"/>
        <c:tickLblPos val="nextTo"/>
        <c:crossAx val="114275456"/>
        <c:crosses val="autoZero"/>
        <c:crossBetween val="between"/>
      </c:valAx>
      <c:spPr>
        <a:noFill/>
        <a:ln w="25400">
          <a:noFill/>
        </a:ln>
      </c:spPr>
    </c:plotArea>
    <c:legend>
      <c:legendPos val="t"/>
      <c:layout>
        <c:manualLayout>
          <c:xMode val="edge"/>
          <c:yMode val="edge"/>
          <c:x val="0.05"/>
          <c:y val="2.4344293483556611E-2"/>
          <c:w val="0.9"/>
          <c:h val="7.3369291750383744E-2"/>
        </c:manualLayout>
      </c:layout>
    </c:legend>
    <c:plotVisOnly val="1"/>
  </c:chart>
  <c:spPr>
    <a:ln>
      <a:noFill/>
    </a:ln>
  </c:spPr>
  <c:txPr>
    <a:bodyPr/>
    <a:lstStyle/>
    <a:p>
      <a:pPr>
        <a:defRPr sz="1200"/>
      </a:pPr>
      <a:endParaRPr lang="en-US"/>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style val="4"/>
  <c:chart>
    <c:autoTitleDeleted val="1"/>
    <c:plotArea>
      <c:layout>
        <c:manualLayout>
          <c:layoutTarget val="inner"/>
          <c:xMode val="edge"/>
          <c:yMode val="edge"/>
          <c:x val="0.12789028573797531"/>
          <c:y val="0.12864502531628916"/>
          <c:w val="0.83612226073386642"/>
          <c:h val="0.70107975069171125"/>
        </c:manualLayout>
      </c:layout>
      <c:barChart>
        <c:barDir val="col"/>
        <c:grouping val="clustered"/>
        <c:ser>
          <c:idx val="0"/>
          <c:order val="0"/>
          <c:tx>
            <c:strRef>
              <c:f>Charts2!$D$40</c:f>
              <c:strCache>
                <c:ptCount val="1"/>
                <c:pt idx="0">
                  <c:v>Extenuating population</c:v>
                </c:pt>
              </c:strCache>
            </c:strRef>
          </c:tx>
          <c:spPr>
            <a:solidFill>
              <a:schemeClr val="accent2">
                <a:alpha val="50000"/>
              </a:schemeClr>
            </a:solidFill>
          </c:spPr>
          <c:cat>
            <c:strRef>
              <c:f>Charts2!$C$41:$C$42</c:f>
              <c:strCache>
                <c:ptCount val="2"/>
                <c:pt idx="0">
                  <c:v>Home (UK/ Other EU)</c:v>
                </c:pt>
                <c:pt idx="1">
                  <c:v>Overseas</c:v>
                </c:pt>
              </c:strCache>
            </c:strRef>
          </c:cat>
          <c:val>
            <c:numRef>
              <c:f>Charts2!$D$41:$D$42</c:f>
              <c:numCache>
                <c:formatCode>0</c:formatCode>
                <c:ptCount val="2"/>
                <c:pt idx="0">
                  <c:v>92.192513368983953</c:v>
                </c:pt>
                <c:pt idx="1">
                  <c:v>7.8074866310160411</c:v>
                </c:pt>
              </c:numCache>
            </c:numRef>
          </c:val>
        </c:ser>
        <c:ser>
          <c:idx val="1"/>
          <c:order val="1"/>
          <c:tx>
            <c:strRef>
              <c:f>Charts2!$E$40</c:f>
              <c:strCache>
                <c:ptCount val="1"/>
                <c:pt idx="0">
                  <c:v>UEL enrolment</c:v>
                </c:pt>
              </c:strCache>
            </c:strRef>
          </c:tx>
          <c:spPr>
            <a:solidFill>
              <a:srgbClr val="4F81BD">
                <a:alpha val="50000"/>
              </a:srgbClr>
            </a:solidFill>
          </c:spPr>
          <c:cat>
            <c:strRef>
              <c:f>Charts2!$C$41:$C$42</c:f>
              <c:strCache>
                <c:ptCount val="2"/>
                <c:pt idx="0">
                  <c:v>Home (UK/ Other EU)</c:v>
                </c:pt>
                <c:pt idx="1">
                  <c:v>Overseas</c:v>
                </c:pt>
              </c:strCache>
            </c:strRef>
          </c:cat>
          <c:val>
            <c:numRef>
              <c:f>Charts2!$E$41:$E$42</c:f>
              <c:numCache>
                <c:formatCode>0</c:formatCode>
                <c:ptCount val="2"/>
                <c:pt idx="0">
                  <c:v>88.3101115800428</c:v>
                </c:pt>
                <c:pt idx="1">
                  <c:v>11.689888419957221</c:v>
                </c:pt>
              </c:numCache>
            </c:numRef>
          </c:val>
        </c:ser>
        <c:dLbls>
          <c:showVal val="1"/>
        </c:dLbls>
        <c:axId val="150256640"/>
        <c:axId val="150266624"/>
      </c:barChart>
      <c:catAx>
        <c:axId val="150256640"/>
        <c:scaling>
          <c:orientation val="minMax"/>
        </c:scaling>
        <c:axPos val="b"/>
        <c:numFmt formatCode="General" sourceLinked="1"/>
        <c:tickLblPos val="nextTo"/>
        <c:crossAx val="150266624"/>
        <c:crosses val="autoZero"/>
        <c:auto val="1"/>
        <c:lblAlgn val="ctr"/>
        <c:lblOffset val="100"/>
      </c:catAx>
      <c:valAx>
        <c:axId val="150266624"/>
        <c:scaling>
          <c:orientation val="minMax"/>
          <c:max val="100"/>
        </c:scaling>
        <c:axPos val="l"/>
        <c:title>
          <c:tx>
            <c:rich>
              <a:bodyPr rot="-5400000" vert="horz"/>
              <a:lstStyle/>
              <a:p>
                <a:pPr>
                  <a:defRPr/>
                </a:pPr>
                <a:r>
                  <a:rPr lang="en-GB"/>
                  <a:t>Proportion of Students%</a:t>
                </a:r>
              </a:p>
            </c:rich>
          </c:tx>
          <c:layout>
            <c:manualLayout>
              <c:xMode val="edge"/>
              <c:yMode val="edge"/>
              <c:x val="2.660126386122532E-3"/>
              <c:y val="0.26603167616201945"/>
            </c:manualLayout>
          </c:layout>
        </c:title>
        <c:numFmt formatCode="0" sourceLinked="1"/>
        <c:tickLblPos val="nextTo"/>
        <c:crossAx val="150256640"/>
        <c:crosses val="autoZero"/>
        <c:crossBetween val="between"/>
      </c:valAx>
      <c:spPr>
        <a:noFill/>
        <a:ln w="25400">
          <a:noFill/>
        </a:ln>
      </c:spPr>
    </c:plotArea>
    <c:legend>
      <c:legendPos val="t"/>
      <c:layout>
        <c:manualLayout>
          <c:xMode val="edge"/>
          <c:yMode val="edge"/>
          <c:x val="0.05"/>
          <c:y val="2.4344293483556611E-2"/>
          <c:w val="0.9"/>
          <c:h val="7.3369291750383606E-2"/>
        </c:manualLayout>
      </c:layout>
    </c:legend>
    <c:plotVisOnly val="1"/>
  </c:chart>
  <c:spPr>
    <a:ln>
      <a:noFill/>
    </a:ln>
  </c:spPr>
  <c:txPr>
    <a:bodyPr/>
    <a:lstStyle/>
    <a:p>
      <a:pPr>
        <a:defRPr sz="1200"/>
      </a:pPr>
      <a:endParaRPr lang="en-US"/>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style val="4"/>
  <c:chart>
    <c:autoTitleDeleted val="1"/>
    <c:plotArea>
      <c:layout>
        <c:manualLayout>
          <c:layoutTarget val="inner"/>
          <c:xMode val="edge"/>
          <c:yMode val="edge"/>
          <c:x val="0.22215694669372005"/>
          <c:y val="0.12864498807878022"/>
          <c:w val="0.73217028722473565"/>
          <c:h val="0.70128482031349404"/>
        </c:manualLayout>
      </c:layout>
      <c:barChart>
        <c:barDir val="col"/>
        <c:grouping val="clustered"/>
        <c:ser>
          <c:idx val="0"/>
          <c:order val="0"/>
          <c:tx>
            <c:strRef>
              <c:f>'201011-201112'!$Q$5</c:f>
              <c:strCache>
                <c:ptCount val="1"/>
                <c:pt idx="0">
                  <c:v>Extenuating population</c:v>
                </c:pt>
              </c:strCache>
            </c:strRef>
          </c:tx>
          <c:spPr>
            <a:solidFill>
              <a:schemeClr val="accent2">
                <a:alpha val="50000"/>
              </a:schemeClr>
            </a:solidFill>
          </c:spPr>
          <c:cat>
            <c:strRef>
              <c:f>'201011-201112'!$P$75:$P$76</c:f>
              <c:strCache>
                <c:ptCount val="2"/>
                <c:pt idx="0">
                  <c:v>Home (UK/ Other EU)</c:v>
                </c:pt>
                <c:pt idx="1">
                  <c:v>Overseas</c:v>
                </c:pt>
              </c:strCache>
            </c:strRef>
          </c:cat>
          <c:val>
            <c:numRef>
              <c:f>'201011-201112'!$Q$75:$Q$76</c:f>
              <c:numCache>
                <c:formatCode>0</c:formatCode>
                <c:ptCount val="2"/>
                <c:pt idx="0">
                  <c:v>93.837837837837753</c:v>
                </c:pt>
                <c:pt idx="1">
                  <c:v>6.1621621621621623</c:v>
                </c:pt>
              </c:numCache>
            </c:numRef>
          </c:val>
        </c:ser>
        <c:ser>
          <c:idx val="1"/>
          <c:order val="1"/>
          <c:tx>
            <c:strRef>
              <c:f>'201011-201112'!$R$5</c:f>
              <c:strCache>
                <c:ptCount val="1"/>
                <c:pt idx="0">
                  <c:v>UEL enrolment</c:v>
                </c:pt>
              </c:strCache>
            </c:strRef>
          </c:tx>
          <c:spPr>
            <a:solidFill>
              <a:srgbClr val="4F81BD">
                <a:alpha val="50000"/>
              </a:srgbClr>
            </a:solidFill>
          </c:spPr>
          <c:cat>
            <c:strRef>
              <c:f>'201011-201112'!$P$75:$P$76</c:f>
              <c:strCache>
                <c:ptCount val="2"/>
                <c:pt idx="0">
                  <c:v>Home (UK/ Other EU)</c:v>
                </c:pt>
                <c:pt idx="1">
                  <c:v>Overseas</c:v>
                </c:pt>
              </c:strCache>
            </c:strRef>
          </c:cat>
          <c:val>
            <c:numRef>
              <c:f>'201011-201112'!$R$75:$R$76</c:f>
              <c:numCache>
                <c:formatCode>0</c:formatCode>
                <c:ptCount val="2"/>
                <c:pt idx="0">
                  <c:v>88.564661714064485</c:v>
                </c:pt>
                <c:pt idx="1">
                  <c:v>11.43533828593551</c:v>
                </c:pt>
              </c:numCache>
            </c:numRef>
          </c:val>
        </c:ser>
        <c:dLbls>
          <c:showVal val="1"/>
        </c:dLbls>
        <c:axId val="168392576"/>
        <c:axId val="168394112"/>
      </c:barChart>
      <c:catAx>
        <c:axId val="168392576"/>
        <c:scaling>
          <c:orientation val="minMax"/>
        </c:scaling>
        <c:axPos val="b"/>
        <c:numFmt formatCode="General" sourceLinked="1"/>
        <c:tickLblPos val="nextTo"/>
        <c:crossAx val="168394112"/>
        <c:crosses val="autoZero"/>
        <c:auto val="1"/>
        <c:lblAlgn val="ctr"/>
        <c:lblOffset val="100"/>
      </c:catAx>
      <c:valAx>
        <c:axId val="168394112"/>
        <c:scaling>
          <c:orientation val="minMax"/>
          <c:max val="100"/>
        </c:scaling>
        <c:axPos val="l"/>
        <c:title>
          <c:tx>
            <c:rich>
              <a:bodyPr rot="-5400000" vert="horz"/>
              <a:lstStyle/>
              <a:p>
                <a:pPr>
                  <a:defRPr/>
                </a:pPr>
                <a:r>
                  <a:rPr lang="en-GB"/>
                  <a:t>Proportion of Students%</a:t>
                </a:r>
              </a:p>
            </c:rich>
          </c:tx>
          <c:layout>
            <c:manualLayout>
              <c:xMode val="edge"/>
              <c:yMode val="edge"/>
              <c:x val="4.8561766658600312E-2"/>
              <c:y val="0.26906991346521647"/>
            </c:manualLayout>
          </c:layout>
        </c:title>
        <c:numFmt formatCode="0" sourceLinked="1"/>
        <c:tickLblPos val="nextTo"/>
        <c:crossAx val="168392576"/>
        <c:crosses val="autoZero"/>
        <c:crossBetween val="between"/>
      </c:valAx>
      <c:spPr>
        <a:noFill/>
        <a:ln w="25400">
          <a:noFill/>
        </a:ln>
      </c:spPr>
    </c:plotArea>
    <c:legend>
      <c:legendPos val="t"/>
      <c:layout>
        <c:manualLayout>
          <c:xMode val="edge"/>
          <c:yMode val="edge"/>
          <c:x val="2.0924276304387462E-2"/>
          <c:y val="2.4344293483556611E-2"/>
          <c:w val="0.97907572369561335"/>
          <c:h val="7.3369291750383744E-2"/>
        </c:manualLayout>
      </c:layout>
    </c:legend>
    <c:plotVisOnly val="1"/>
  </c:chart>
  <c:spPr>
    <a:ln>
      <a:noFill/>
    </a:ln>
  </c:spPr>
  <c:txPr>
    <a:bodyPr/>
    <a:lstStyle/>
    <a:p>
      <a:pPr>
        <a:defRPr sz="1200"/>
      </a:pPr>
      <a:endParaRPr lang="en-US"/>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style val="4"/>
  <c:chart>
    <c:autoTitleDeleted val="1"/>
    <c:plotArea>
      <c:layout>
        <c:manualLayout>
          <c:layoutTarget val="inner"/>
          <c:xMode val="edge"/>
          <c:yMode val="edge"/>
          <c:x val="0.22215694669372005"/>
          <c:y val="0.12864498807878022"/>
          <c:w val="0.73217028722473565"/>
          <c:h val="0.70128482031349426"/>
        </c:manualLayout>
      </c:layout>
      <c:barChart>
        <c:barDir val="col"/>
        <c:grouping val="clustered"/>
        <c:ser>
          <c:idx val="0"/>
          <c:order val="0"/>
          <c:tx>
            <c:strRef>
              <c:f>'201011-201112'!$S$5</c:f>
              <c:strCache>
                <c:ptCount val="1"/>
                <c:pt idx="0">
                  <c:v>Extenuating population</c:v>
                </c:pt>
              </c:strCache>
            </c:strRef>
          </c:tx>
          <c:spPr>
            <a:solidFill>
              <a:schemeClr val="accent2">
                <a:alpha val="50000"/>
              </a:schemeClr>
            </a:solidFill>
          </c:spPr>
          <c:cat>
            <c:strRef>
              <c:f>'201011-201112'!$P$75:$P$76</c:f>
              <c:strCache>
                <c:ptCount val="2"/>
                <c:pt idx="0">
                  <c:v>Home (UK/ Other EU)</c:v>
                </c:pt>
                <c:pt idx="1">
                  <c:v>Overseas</c:v>
                </c:pt>
              </c:strCache>
            </c:strRef>
          </c:cat>
          <c:val>
            <c:numRef>
              <c:f>'201011-201112'!$S$75:$S$76</c:f>
              <c:numCache>
                <c:formatCode>0</c:formatCode>
                <c:ptCount val="2"/>
                <c:pt idx="0">
                  <c:v>92.240543161978735</c:v>
                </c:pt>
                <c:pt idx="1">
                  <c:v>7.7594568380213396</c:v>
                </c:pt>
              </c:numCache>
            </c:numRef>
          </c:val>
        </c:ser>
        <c:ser>
          <c:idx val="1"/>
          <c:order val="1"/>
          <c:tx>
            <c:strRef>
              <c:f>'201011-201112'!$T$5</c:f>
              <c:strCache>
                <c:ptCount val="1"/>
                <c:pt idx="0">
                  <c:v>UEL enrolment</c:v>
                </c:pt>
              </c:strCache>
            </c:strRef>
          </c:tx>
          <c:spPr>
            <a:solidFill>
              <a:srgbClr val="4F81BD">
                <a:alpha val="50000"/>
              </a:srgbClr>
            </a:solidFill>
          </c:spPr>
          <c:cat>
            <c:strRef>
              <c:f>'201011-201112'!$P$75:$P$76</c:f>
              <c:strCache>
                <c:ptCount val="2"/>
                <c:pt idx="0">
                  <c:v>Home (UK/ Other EU)</c:v>
                </c:pt>
                <c:pt idx="1">
                  <c:v>Overseas</c:v>
                </c:pt>
              </c:strCache>
            </c:strRef>
          </c:cat>
          <c:val>
            <c:numRef>
              <c:f>'201011-201112'!$T$75:$T$76</c:f>
              <c:numCache>
                <c:formatCode>0</c:formatCode>
                <c:ptCount val="2"/>
                <c:pt idx="0">
                  <c:v>84.989880203489847</c:v>
                </c:pt>
                <c:pt idx="1">
                  <c:v>15.010119796510038</c:v>
                </c:pt>
              </c:numCache>
            </c:numRef>
          </c:val>
        </c:ser>
        <c:dLbls>
          <c:showVal val="1"/>
        </c:dLbls>
        <c:axId val="61486592"/>
        <c:axId val="61488128"/>
      </c:barChart>
      <c:catAx>
        <c:axId val="61486592"/>
        <c:scaling>
          <c:orientation val="minMax"/>
        </c:scaling>
        <c:axPos val="b"/>
        <c:numFmt formatCode="General" sourceLinked="1"/>
        <c:tickLblPos val="nextTo"/>
        <c:crossAx val="61488128"/>
        <c:crosses val="autoZero"/>
        <c:auto val="1"/>
        <c:lblAlgn val="ctr"/>
        <c:lblOffset val="100"/>
      </c:catAx>
      <c:valAx>
        <c:axId val="61488128"/>
        <c:scaling>
          <c:orientation val="minMax"/>
          <c:max val="100"/>
        </c:scaling>
        <c:axPos val="l"/>
        <c:title>
          <c:tx>
            <c:rich>
              <a:bodyPr rot="-5400000" vert="horz"/>
              <a:lstStyle/>
              <a:p>
                <a:pPr>
                  <a:defRPr/>
                </a:pPr>
                <a:r>
                  <a:rPr lang="en-GB"/>
                  <a:t>Proportion of Students%</a:t>
                </a:r>
              </a:p>
            </c:rich>
          </c:tx>
          <c:layout>
            <c:manualLayout>
              <c:xMode val="edge"/>
              <c:yMode val="edge"/>
              <c:x val="4.8561766658600312E-2"/>
              <c:y val="0.26906991346521647"/>
            </c:manualLayout>
          </c:layout>
        </c:title>
        <c:numFmt formatCode="0" sourceLinked="1"/>
        <c:tickLblPos val="nextTo"/>
        <c:crossAx val="61486592"/>
        <c:crosses val="autoZero"/>
        <c:crossBetween val="between"/>
      </c:valAx>
      <c:spPr>
        <a:noFill/>
        <a:ln w="25400">
          <a:noFill/>
        </a:ln>
      </c:spPr>
    </c:plotArea>
    <c:legend>
      <c:legendPos val="t"/>
      <c:layout>
        <c:manualLayout>
          <c:xMode val="edge"/>
          <c:yMode val="edge"/>
          <c:x val="0.05"/>
          <c:y val="2.4344293483556611E-2"/>
          <c:w val="0.9"/>
          <c:h val="7.3369291750383786E-2"/>
        </c:manualLayout>
      </c:layout>
    </c:legend>
    <c:plotVisOnly val="1"/>
  </c:chart>
  <c:spPr>
    <a:ln>
      <a:noFill/>
    </a:ln>
  </c:spPr>
  <c:txPr>
    <a:bodyPr/>
    <a:lstStyle/>
    <a:p>
      <a:pPr>
        <a:defRPr sz="1200"/>
      </a:pPr>
      <a:endParaRPr lang="en-US"/>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en-GB"/>
  <c:style val="4"/>
  <c:chart>
    <c:autoTitleDeleted val="1"/>
    <c:plotArea>
      <c:layout>
        <c:manualLayout>
          <c:layoutTarget val="inner"/>
          <c:xMode val="edge"/>
          <c:yMode val="edge"/>
          <c:x val="0.12789028573797537"/>
          <c:y val="0.12864502531628916"/>
          <c:w val="0.83612226073386642"/>
          <c:h val="0.70107975069171158"/>
        </c:manualLayout>
      </c:layout>
      <c:barChart>
        <c:barDir val="col"/>
        <c:grouping val="clustered"/>
        <c:ser>
          <c:idx val="0"/>
          <c:order val="0"/>
          <c:tx>
            <c:strRef>
              <c:f>Charts2!$D$60</c:f>
              <c:strCache>
                <c:ptCount val="1"/>
                <c:pt idx="0">
                  <c:v>Extenuating population</c:v>
                </c:pt>
              </c:strCache>
            </c:strRef>
          </c:tx>
          <c:spPr>
            <a:solidFill>
              <a:schemeClr val="accent2">
                <a:alpha val="50000"/>
              </a:schemeClr>
            </a:solidFill>
          </c:spPr>
          <c:cat>
            <c:strRef>
              <c:f>Charts2!$C$61:$C$62</c:f>
              <c:strCache>
                <c:ptCount val="2"/>
                <c:pt idx="0">
                  <c:v>Undergraduate</c:v>
                </c:pt>
                <c:pt idx="1">
                  <c:v>Postgraduate</c:v>
                </c:pt>
              </c:strCache>
            </c:strRef>
          </c:cat>
          <c:val>
            <c:numRef>
              <c:f>Charts2!$D$61:$D$62</c:f>
              <c:numCache>
                <c:formatCode>0</c:formatCode>
                <c:ptCount val="2"/>
                <c:pt idx="0">
                  <c:v>92.274678111587974</c:v>
                </c:pt>
                <c:pt idx="1">
                  <c:v>7.7253218884120178</c:v>
                </c:pt>
              </c:numCache>
            </c:numRef>
          </c:val>
        </c:ser>
        <c:ser>
          <c:idx val="1"/>
          <c:order val="1"/>
          <c:tx>
            <c:strRef>
              <c:f>Charts2!$E$60</c:f>
              <c:strCache>
                <c:ptCount val="1"/>
                <c:pt idx="0">
                  <c:v>UEL enrolment</c:v>
                </c:pt>
              </c:strCache>
            </c:strRef>
          </c:tx>
          <c:spPr>
            <a:solidFill>
              <a:srgbClr val="4F81BD">
                <a:alpha val="50000"/>
              </a:srgbClr>
            </a:solidFill>
          </c:spPr>
          <c:cat>
            <c:strRef>
              <c:f>Charts2!$C$61:$C$62</c:f>
              <c:strCache>
                <c:ptCount val="2"/>
                <c:pt idx="0">
                  <c:v>Undergraduate</c:v>
                </c:pt>
                <c:pt idx="1">
                  <c:v>Postgraduate</c:v>
                </c:pt>
              </c:strCache>
            </c:strRef>
          </c:cat>
          <c:val>
            <c:numRef>
              <c:f>Charts2!$E$61:$E$62</c:f>
              <c:numCache>
                <c:formatCode>0</c:formatCode>
                <c:ptCount val="2"/>
                <c:pt idx="0">
                  <c:v>79.590656799259946</c:v>
                </c:pt>
                <c:pt idx="1">
                  <c:v>20.409343200740047</c:v>
                </c:pt>
              </c:numCache>
            </c:numRef>
          </c:val>
        </c:ser>
        <c:dLbls>
          <c:showVal val="1"/>
        </c:dLbls>
        <c:axId val="61514112"/>
        <c:axId val="61515648"/>
      </c:barChart>
      <c:catAx>
        <c:axId val="61514112"/>
        <c:scaling>
          <c:orientation val="minMax"/>
        </c:scaling>
        <c:axPos val="b"/>
        <c:numFmt formatCode="General" sourceLinked="1"/>
        <c:tickLblPos val="nextTo"/>
        <c:crossAx val="61515648"/>
        <c:crosses val="autoZero"/>
        <c:auto val="1"/>
        <c:lblAlgn val="ctr"/>
        <c:lblOffset val="100"/>
      </c:catAx>
      <c:valAx>
        <c:axId val="61515648"/>
        <c:scaling>
          <c:orientation val="minMax"/>
          <c:max val="100"/>
        </c:scaling>
        <c:axPos val="l"/>
        <c:title>
          <c:tx>
            <c:rich>
              <a:bodyPr rot="-5400000" vert="horz"/>
              <a:lstStyle/>
              <a:p>
                <a:pPr>
                  <a:defRPr/>
                </a:pPr>
                <a:r>
                  <a:rPr lang="en-GB"/>
                  <a:t>Proportion of Students%</a:t>
                </a:r>
              </a:p>
            </c:rich>
          </c:tx>
          <c:layout>
            <c:manualLayout>
              <c:xMode val="edge"/>
              <c:yMode val="edge"/>
              <c:x val="2.6601263861225346E-3"/>
              <c:y val="0.26603167616201945"/>
            </c:manualLayout>
          </c:layout>
        </c:title>
        <c:numFmt formatCode="0" sourceLinked="1"/>
        <c:tickLblPos val="nextTo"/>
        <c:crossAx val="61514112"/>
        <c:crosses val="autoZero"/>
        <c:crossBetween val="between"/>
      </c:valAx>
      <c:spPr>
        <a:noFill/>
        <a:ln w="25400">
          <a:noFill/>
        </a:ln>
      </c:spPr>
    </c:plotArea>
    <c:legend>
      <c:legendPos val="t"/>
      <c:layout>
        <c:manualLayout>
          <c:xMode val="edge"/>
          <c:yMode val="edge"/>
          <c:x val="0.05"/>
          <c:y val="2.4344293483556611E-2"/>
          <c:w val="0.9"/>
          <c:h val="7.3369291750383647E-2"/>
        </c:manualLayout>
      </c:layout>
    </c:legend>
    <c:plotVisOnly val="1"/>
  </c:chart>
  <c:spPr>
    <a:ln>
      <a:noFill/>
    </a:ln>
  </c:spPr>
  <c:txPr>
    <a:bodyPr/>
    <a:lstStyle/>
    <a:p>
      <a:pPr>
        <a:defRPr sz="1200"/>
      </a:pPr>
      <a:endParaRPr lang="en-US"/>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style val="4"/>
  <c:chart>
    <c:autoTitleDeleted val="1"/>
    <c:plotArea>
      <c:layout>
        <c:manualLayout>
          <c:layoutTarget val="inner"/>
          <c:xMode val="edge"/>
          <c:yMode val="edge"/>
          <c:x val="0.22215694669372005"/>
          <c:y val="0.12864498807878022"/>
          <c:w val="0.73217028722473565"/>
          <c:h val="0.70128482031349471"/>
        </c:manualLayout>
      </c:layout>
      <c:barChart>
        <c:barDir val="col"/>
        <c:grouping val="clustered"/>
        <c:ser>
          <c:idx val="0"/>
          <c:order val="0"/>
          <c:tx>
            <c:strRef>
              <c:f>'201011-201112'!$Q$5</c:f>
              <c:strCache>
                <c:ptCount val="1"/>
                <c:pt idx="0">
                  <c:v>Extenuating population</c:v>
                </c:pt>
              </c:strCache>
            </c:strRef>
          </c:tx>
          <c:spPr>
            <a:solidFill>
              <a:schemeClr val="accent2">
                <a:alpha val="50000"/>
              </a:schemeClr>
            </a:solidFill>
          </c:spPr>
          <c:cat>
            <c:strRef>
              <c:f>'201011-201112'!$P$97:$P$98</c:f>
              <c:strCache>
                <c:ptCount val="2"/>
                <c:pt idx="0">
                  <c:v>Undergraduate</c:v>
                </c:pt>
                <c:pt idx="1">
                  <c:v>Postgraduate</c:v>
                </c:pt>
              </c:strCache>
            </c:strRef>
          </c:cat>
          <c:val>
            <c:numRef>
              <c:f>'201011-201112'!$Q$97:$Q$98</c:f>
              <c:numCache>
                <c:formatCode>0</c:formatCode>
                <c:ptCount val="2"/>
                <c:pt idx="0">
                  <c:v>91.46868250539957</c:v>
                </c:pt>
                <c:pt idx="1">
                  <c:v>8.5313174946004189</c:v>
                </c:pt>
              </c:numCache>
            </c:numRef>
          </c:val>
        </c:ser>
        <c:ser>
          <c:idx val="1"/>
          <c:order val="1"/>
          <c:tx>
            <c:strRef>
              <c:f>'201011-201112'!$R$5</c:f>
              <c:strCache>
                <c:ptCount val="1"/>
                <c:pt idx="0">
                  <c:v>UEL enrolment</c:v>
                </c:pt>
              </c:strCache>
            </c:strRef>
          </c:tx>
          <c:spPr>
            <a:solidFill>
              <a:srgbClr val="4F81BD">
                <a:alpha val="50000"/>
              </a:srgbClr>
            </a:solidFill>
          </c:spPr>
          <c:cat>
            <c:strRef>
              <c:f>'201011-201112'!$P$97:$P$98</c:f>
              <c:strCache>
                <c:ptCount val="2"/>
                <c:pt idx="0">
                  <c:v>Undergraduate</c:v>
                </c:pt>
                <c:pt idx="1">
                  <c:v>Postgraduate</c:v>
                </c:pt>
              </c:strCache>
            </c:strRef>
          </c:cat>
          <c:val>
            <c:numRef>
              <c:f>'201011-201112'!$R$97:$R$98</c:f>
              <c:numCache>
                <c:formatCode>0</c:formatCode>
                <c:ptCount val="2"/>
                <c:pt idx="0">
                  <c:v>78.354731893098673</c:v>
                </c:pt>
                <c:pt idx="1">
                  <c:v>21.64526810690116</c:v>
                </c:pt>
              </c:numCache>
            </c:numRef>
          </c:val>
        </c:ser>
        <c:dLbls>
          <c:showVal val="1"/>
        </c:dLbls>
        <c:axId val="61553664"/>
        <c:axId val="61563648"/>
      </c:barChart>
      <c:catAx>
        <c:axId val="61553664"/>
        <c:scaling>
          <c:orientation val="minMax"/>
        </c:scaling>
        <c:axPos val="b"/>
        <c:numFmt formatCode="General" sourceLinked="1"/>
        <c:tickLblPos val="nextTo"/>
        <c:crossAx val="61563648"/>
        <c:crosses val="autoZero"/>
        <c:auto val="1"/>
        <c:lblAlgn val="ctr"/>
        <c:lblOffset val="100"/>
      </c:catAx>
      <c:valAx>
        <c:axId val="61563648"/>
        <c:scaling>
          <c:orientation val="minMax"/>
          <c:max val="100"/>
        </c:scaling>
        <c:axPos val="l"/>
        <c:title>
          <c:tx>
            <c:rich>
              <a:bodyPr rot="-5400000" vert="horz"/>
              <a:lstStyle/>
              <a:p>
                <a:pPr>
                  <a:defRPr/>
                </a:pPr>
                <a:r>
                  <a:rPr lang="en-GB"/>
                  <a:t>Proportion of Students%</a:t>
                </a:r>
              </a:p>
            </c:rich>
          </c:tx>
          <c:layout>
            <c:manualLayout>
              <c:xMode val="edge"/>
              <c:yMode val="edge"/>
              <c:x val="4.8561766658600312E-2"/>
              <c:y val="0.26906991346521647"/>
            </c:manualLayout>
          </c:layout>
        </c:title>
        <c:numFmt formatCode="0" sourceLinked="1"/>
        <c:tickLblPos val="nextTo"/>
        <c:crossAx val="61553664"/>
        <c:crosses val="autoZero"/>
        <c:crossBetween val="between"/>
      </c:valAx>
      <c:spPr>
        <a:noFill/>
        <a:ln w="25400">
          <a:noFill/>
        </a:ln>
      </c:spPr>
    </c:plotArea>
    <c:legend>
      <c:legendPos val="t"/>
      <c:layout>
        <c:manualLayout>
          <c:xMode val="edge"/>
          <c:yMode val="edge"/>
          <c:x val="0.05"/>
          <c:y val="2.4344293483556611E-2"/>
          <c:w val="0.9"/>
          <c:h val="7.3369291750383814E-2"/>
        </c:manualLayout>
      </c:layout>
    </c:legend>
    <c:plotVisOnly val="1"/>
  </c:chart>
  <c:spPr>
    <a:ln>
      <a:noFill/>
    </a:ln>
  </c:spPr>
  <c:txPr>
    <a:bodyPr/>
    <a:lstStyle/>
    <a:p>
      <a:pPr>
        <a:defRPr sz="1200"/>
      </a:pPr>
      <a:endParaRPr lang="en-US"/>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en-GB"/>
  <c:style val="4"/>
  <c:chart>
    <c:autoTitleDeleted val="1"/>
    <c:plotArea>
      <c:layout>
        <c:manualLayout>
          <c:layoutTarget val="inner"/>
          <c:xMode val="edge"/>
          <c:yMode val="edge"/>
          <c:x val="0.22215694669372005"/>
          <c:y val="0.12864498807878022"/>
          <c:w val="0.73217028722473565"/>
          <c:h val="0.70128482031349426"/>
        </c:manualLayout>
      </c:layout>
      <c:barChart>
        <c:barDir val="col"/>
        <c:grouping val="clustered"/>
        <c:ser>
          <c:idx val="0"/>
          <c:order val="0"/>
          <c:tx>
            <c:strRef>
              <c:f>'201011-201112'!$S$5</c:f>
              <c:strCache>
                <c:ptCount val="1"/>
                <c:pt idx="0">
                  <c:v>Extenuating population</c:v>
                </c:pt>
              </c:strCache>
            </c:strRef>
          </c:tx>
          <c:spPr>
            <a:solidFill>
              <a:schemeClr val="accent2">
                <a:alpha val="50000"/>
              </a:schemeClr>
            </a:solidFill>
          </c:spPr>
          <c:cat>
            <c:strRef>
              <c:f>'201011-201112'!$P$97:$P$98</c:f>
              <c:strCache>
                <c:ptCount val="2"/>
                <c:pt idx="0">
                  <c:v>Undergraduate</c:v>
                </c:pt>
                <c:pt idx="1">
                  <c:v>Postgraduate</c:v>
                </c:pt>
              </c:strCache>
            </c:strRef>
          </c:cat>
          <c:val>
            <c:numRef>
              <c:f>'201011-201112'!$S$97:$S$98</c:f>
              <c:numCache>
                <c:formatCode>0</c:formatCode>
                <c:ptCount val="2"/>
                <c:pt idx="0">
                  <c:v>88.651794374393788</c:v>
                </c:pt>
                <c:pt idx="1">
                  <c:v>11.348205625606207</c:v>
                </c:pt>
              </c:numCache>
            </c:numRef>
          </c:val>
        </c:ser>
        <c:ser>
          <c:idx val="1"/>
          <c:order val="1"/>
          <c:tx>
            <c:strRef>
              <c:f>'201011-201112'!$T$5</c:f>
              <c:strCache>
                <c:ptCount val="1"/>
                <c:pt idx="0">
                  <c:v>UEL enrolment</c:v>
                </c:pt>
              </c:strCache>
            </c:strRef>
          </c:tx>
          <c:spPr>
            <a:solidFill>
              <a:srgbClr val="4F81BD">
                <a:alpha val="50000"/>
              </a:srgbClr>
            </a:solidFill>
          </c:spPr>
          <c:cat>
            <c:strRef>
              <c:f>'201011-201112'!$P$97:$P$98</c:f>
              <c:strCache>
                <c:ptCount val="2"/>
                <c:pt idx="0">
                  <c:v>Undergraduate</c:v>
                </c:pt>
                <c:pt idx="1">
                  <c:v>Postgraduate</c:v>
                </c:pt>
              </c:strCache>
            </c:strRef>
          </c:cat>
          <c:val>
            <c:numRef>
              <c:f>'201011-201112'!$T$97:$T$98</c:f>
              <c:numCache>
                <c:formatCode>0</c:formatCode>
                <c:ptCount val="2"/>
                <c:pt idx="0">
                  <c:v>75.981840061262517</c:v>
                </c:pt>
                <c:pt idx="1">
                  <c:v>24.018159938737544</c:v>
                </c:pt>
              </c:numCache>
            </c:numRef>
          </c:val>
        </c:ser>
        <c:dLbls>
          <c:showVal val="1"/>
        </c:dLbls>
        <c:axId val="61602048"/>
        <c:axId val="61612032"/>
      </c:barChart>
      <c:catAx>
        <c:axId val="61602048"/>
        <c:scaling>
          <c:orientation val="minMax"/>
        </c:scaling>
        <c:axPos val="b"/>
        <c:numFmt formatCode="General" sourceLinked="1"/>
        <c:tickLblPos val="nextTo"/>
        <c:crossAx val="61612032"/>
        <c:crosses val="autoZero"/>
        <c:auto val="1"/>
        <c:lblAlgn val="ctr"/>
        <c:lblOffset val="100"/>
      </c:catAx>
      <c:valAx>
        <c:axId val="61612032"/>
        <c:scaling>
          <c:orientation val="minMax"/>
          <c:max val="100"/>
        </c:scaling>
        <c:axPos val="l"/>
        <c:title>
          <c:tx>
            <c:rich>
              <a:bodyPr rot="-5400000" vert="horz"/>
              <a:lstStyle/>
              <a:p>
                <a:pPr>
                  <a:defRPr/>
                </a:pPr>
                <a:r>
                  <a:rPr lang="en-GB"/>
                  <a:t>Proportion of Students%</a:t>
                </a:r>
              </a:p>
            </c:rich>
          </c:tx>
          <c:layout>
            <c:manualLayout>
              <c:xMode val="edge"/>
              <c:yMode val="edge"/>
              <c:x val="4.8561766658600312E-2"/>
              <c:y val="0.26906991346521647"/>
            </c:manualLayout>
          </c:layout>
        </c:title>
        <c:numFmt formatCode="0" sourceLinked="1"/>
        <c:tickLblPos val="nextTo"/>
        <c:crossAx val="61602048"/>
        <c:crosses val="autoZero"/>
        <c:crossBetween val="between"/>
      </c:valAx>
      <c:spPr>
        <a:noFill/>
        <a:ln w="25400">
          <a:noFill/>
        </a:ln>
      </c:spPr>
    </c:plotArea>
    <c:legend>
      <c:legendPos val="t"/>
      <c:layout>
        <c:manualLayout>
          <c:xMode val="edge"/>
          <c:yMode val="edge"/>
          <c:x val="0.05"/>
          <c:y val="2.4344293483556611E-2"/>
          <c:w val="0.9"/>
          <c:h val="7.3369291750383786E-2"/>
        </c:manualLayout>
      </c:layout>
    </c:legend>
    <c:plotVisOnly val="1"/>
  </c:chart>
  <c:spPr>
    <a:ln>
      <a:noFill/>
    </a:ln>
  </c:spPr>
  <c:txPr>
    <a:bodyPr/>
    <a:lstStyle/>
    <a:p>
      <a:pPr>
        <a:defRPr sz="1200"/>
      </a:pPr>
      <a:endParaRPr lang="en-US"/>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en-GB"/>
  <c:style val="4"/>
  <c:chart>
    <c:autoTitleDeleted val="1"/>
    <c:plotArea>
      <c:layout>
        <c:manualLayout>
          <c:layoutTarget val="inner"/>
          <c:xMode val="edge"/>
          <c:yMode val="edge"/>
          <c:x val="0.22215694669372005"/>
          <c:y val="0.12864498807878022"/>
          <c:w val="0.73217028722473565"/>
          <c:h val="0.70128482031349249"/>
        </c:manualLayout>
      </c:layout>
      <c:barChart>
        <c:barDir val="col"/>
        <c:grouping val="clustered"/>
        <c:ser>
          <c:idx val="0"/>
          <c:order val="0"/>
          <c:tx>
            <c:strRef>
              <c:f>Charts1!$D$2</c:f>
              <c:strCache>
                <c:ptCount val="1"/>
                <c:pt idx="0">
                  <c:v>Extenuating population</c:v>
                </c:pt>
              </c:strCache>
            </c:strRef>
          </c:tx>
          <c:spPr>
            <a:solidFill>
              <a:schemeClr val="accent2">
                <a:alpha val="50000"/>
              </a:schemeClr>
            </a:solidFill>
          </c:spPr>
          <c:cat>
            <c:strRef>
              <c:f>Charts1!$C$3:$C$4</c:f>
              <c:strCache>
                <c:ptCount val="2"/>
                <c:pt idx="0">
                  <c:v>Male</c:v>
                </c:pt>
                <c:pt idx="1">
                  <c:v>Female</c:v>
                </c:pt>
              </c:strCache>
            </c:strRef>
          </c:cat>
          <c:val>
            <c:numRef>
              <c:f>Charts1!$D$3:$D$4</c:f>
              <c:numCache>
                <c:formatCode>General</c:formatCode>
                <c:ptCount val="2"/>
                <c:pt idx="0">
                  <c:v>35</c:v>
                </c:pt>
                <c:pt idx="1">
                  <c:v>65</c:v>
                </c:pt>
              </c:numCache>
            </c:numRef>
          </c:val>
        </c:ser>
        <c:ser>
          <c:idx val="1"/>
          <c:order val="1"/>
          <c:tx>
            <c:strRef>
              <c:f>Charts1!$E$2</c:f>
              <c:strCache>
                <c:ptCount val="1"/>
                <c:pt idx="0">
                  <c:v>UEL enrolment</c:v>
                </c:pt>
              </c:strCache>
            </c:strRef>
          </c:tx>
          <c:spPr>
            <a:solidFill>
              <a:srgbClr val="4F81BD">
                <a:alpha val="50000"/>
              </a:srgbClr>
            </a:solidFill>
          </c:spPr>
          <c:cat>
            <c:strRef>
              <c:f>Charts1!$C$3:$C$4</c:f>
              <c:strCache>
                <c:ptCount val="2"/>
                <c:pt idx="0">
                  <c:v>Male</c:v>
                </c:pt>
                <c:pt idx="1">
                  <c:v>Female</c:v>
                </c:pt>
              </c:strCache>
            </c:strRef>
          </c:cat>
          <c:val>
            <c:numRef>
              <c:f>Charts1!$E$3:$E$4</c:f>
              <c:numCache>
                <c:formatCode>0</c:formatCode>
                <c:ptCount val="2"/>
                <c:pt idx="0">
                  <c:v>41.665221162185603</c:v>
                </c:pt>
                <c:pt idx="1">
                  <c:v>58.334778837814397</c:v>
                </c:pt>
              </c:numCache>
            </c:numRef>
          </c:val>
        </c:ser>
        <c:dLbls>
          <c:showVal val="1"/>
        </c:dLbls>
        <c:axId val="61637760"/>
        <c:axId val="61639296"/>
      </c:barChart>
      <c:catAx>
        <c:axId val="61637760"/>
        <c:scaling>
          <c:orientation val="minMax"/>
        </c:scaling>
        <c:axPos val="b"/>
        <c:numFmt formatCode="General" sourceLinked="1"/>
        <c:tickLblPos val="nextTo"/>
        <c:crossAx val="61639296"/>
        <c:crosses val="autoZero"/>
        <c:auto val="1"/>
        <c:lblAlgn val="ctr"/>
        <c:lblOffset val="100"/>
      </c:catAx>
      <c:valAx>
        <c:axId val="61639296"/>
        <c:scaling>
          <c:orientation val="minMax"/>
          <c:max val="100"/>
        </c:scaling>
        <c:axPos val="l"/>
        <c:title>
          <c:tx>
            <c:rich>
              <a:bodyPr rot="-5400000" vert="horz"/>
              <a:lstStyle/>
              <a:p>
                <a:pPr>
                  <a:defRPr/>
                </a:pPr>
                <a:r>
                  <a:rPr lang="en-GB"/>
                  <a:t>Proportion of Students%</a:t>
                </a:r>
              </a:p>
            </c:rich>
          </c:tx>
          <c:layout>
            <c:manualLayout>
              <c:xMode val="edge"/>
              <c:yMode val="edge"/>
              <c:x val="4.8561766658600312E-2"/>
              <c:y val="0.26906991346521647"/>
            </c:manualLayout>
          </c:layout>
        </c:title>
        <c:numFmt formatCode="General" sourceLinked="1"/>
        <c:tickLblPos val="nextTo"/>
        <c:crossAx val="61637760"/>
        <c:crosses val="autoZero"/>
        <c:crossBetween val="between"/>
      </c:valAx>
      <c:spPr>
        <a:noFill/>
        <a:ln w="25400">
          <a:noFill/>
        </a:ln>
      </c:spPr>
    </c:plotArea>
    <c:legend>
      <c:legendPos val="t"/>
      <c:layout>
        <c:manualLayout>
          <c:xMode val="edge"/>
          <c:yMode val="edge"/>
          <c:x val="0.05"/>
          <c:y val="2.4344293483556611E-2"/>
          <c:w val="0.9"/>
          <c:h val="7.336929175038355E-2"/>
        </c:manualLayout>
      </c:layout>
    </c:legend>
    <c:plotVisOnly val="1"/>
  </c:chart>
  <c:spPr>
    <a:ln>
      <a:noFill/>
    </a:ln>
  </c:spPr>
  <c:txPr>
    <a:bodyPr/>
    <a:lstStyle/>
    <a:p>
      <a:pPr>
        <a:defRPr sz="1200"/>
      </a:pPr>
      <a:endParaRPr lang="en-US"/>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en-GB"/>
  <c:style val="4"/>
  <c:chart>
    <c:autoTitleDeleted val="1"/>
    <c:plotArea>
      <c:layout>
        <c:manualLayout>
          <c:layoutTarget val="inner"/>
          <c:xMode val="edge"/>
          <c:yMode val="edge"/>
          <c:x val="0.22215694669372005"/>
          <c:y val="0.12864498807878022"/>
          <c:w val="0.73217028722473565"/>
          <c:h val="0.70128482031349315"/>
        </c:manualLayout>
      </c:layout>
      <c:barChart>
        <c:barDir val="col"/>
        <c:grouping val="clustered"/>
        <c:ser>
          <c:idx val="0"/>
          <c:order val="0"/>
          <c:tx>
            <c:strRef>
              <c:f>'201011-201112'!$Q$5</c:f>
              <c:strCache>
                <c:ptCount val="1"/>
                <c:pt idx="0">
                  <c:v>Extenuating population</c:v>
                </c:pt>
              </c:strCache>
            </c:strRef>
          </c:tx>
          <c:spPr>
            <a:solidFill>
              <a:schemeClr val="accent2">
                <a:alpha val="50000"/>
              </a:schemeClr>
            </a:solidFill>
          </c:spPr>
          <c:cat>
            <c:strRef>
              <c:f>'201011-201112'!$P$6:$P$7</c:f>
              <c:strCache>
                <c:ptCount val="2"/>
                <c:pt idx="0">
                  <c:v>Male</c:v>
                </c:pt>
                <c:pt idx="1">
                  <c:v>Female</c:v>
                </c:pt>
              </c:strCache>
            </c:strRef>
          </c:cat>
          <c:val>
            <c:numRef>
              <c:f>'201011-201112'!$Q$6:$Q$7</c:f>
              <c:numCache>
                <c:formatCode>0</c:formatCode>
                <c:ptCount val="2"/>
                <c:pt idx="0">
                  <c:v>35.421166306695454</c:v>
                </c:pt>
                <c:pt idx="1">
                  <c:v>64.578833693304489</c:v>
                </c:pt>
              </c:numCache>
            </c:numRef>
          </c:val>
        </c:ser>
        <c:ser>
          <c:idx val="1"/>
          <c:order val="1"/>
          <c:tx>
            <c:strRef>
              <c:f>'201011-201112'!$R$5</c:f>
              <c:strCache>
                <c:ptCount val="1"/>
                <c:pt idx="0">
                  <c:v>UEL enrolment</c:v>
                </c:pt>
              </c:strCache>
            </c:strRef>
          </c:tx>
          <c:spPr>
            <a:solidFill>
              <a:srgbClr val="4F81BD">
                <a:alpha val="50000"/>
              </a:srgbClr>
            </a:solidFill>
          </c:spPr>
          <c:cat>
            <c:strRef>
              <c:f>'201011-201112'!$P$6:$P$7</c:f>
              <c:strCache>
                <c:ptCount val="2"/>
                <c:pt idx="0">
                  <c:v>Male</c:v>
                </c:pt>
                <c:pt idx="1">
                  <c:v>Female</c:v>
                </c:pt>
              </c:strCache>
            </c:strRef>
          </c:cat>
          <c:val>
            <c:numRef>
              <c:f>'201011-201112'!$R$6:$R$7</c:f>
              <c:numCache>
                <c:formatCode>0</c:formatCode>
                <c:ptCount val="2"/>
                <c:pt idx="0">
                  <c:v>42.566451691983254</c:v>
                </c:pt>
                <c:pt idx="1">
                  <c:v>57.433548308016732</c:v>
                </c:pt>
              </c:numCache>
            </c:numRef>
          </c:val>
        </c:ser>
        <c:dLbls>
          <c:showVal val="1"/>
        </c:dLbls>
        <c:axId val="61677568"/>
        <c:axId val="61679488"/>
      </c:barChart>
      <c:catAx>
        <c:axId val="61677568"/>
        <c:scaling>
          <c:orientation val="minMax"/>
        </c:scaling>
        <c:axPos val="b"/>
        <c:title>
          <c:tx>
            <c:rich>
              <a:bodyPr/>
              <a:lstStyle/>
              <a:p>
                <a:pPr algn="ctr">
                  <a:defRPr/>
                </a:pPr>
                <a:r>
                  <a:rPr lang="en-GB"/>
                  <a:t>	</a:t>
                </a:r>
              </a:p>
            </c:rich>
          </c:tx>
          <c:layout/>
        </c:title>
        <c:numFmt formatCode="General" sourceLinked="1"/>
        <c:tickLblPos val="nextTo"/>
        <c:crossAx val="61679488"/>
        <c:crosses val="autoZero"/>
        <c:auto val="1"/>
        <c:lblAlgn val="ctr"/>
        <c:lblOffset val="100"/>
      </c:catAx>
      <c:valAx>
        <c:axId val="61679488"/>
        <c:scaling>
          <c:orientation val="minMax"/>
          <c:max val="100"/>
        </c:scaling>
        <c:axPos val="l"/>
        <c:title>
          <c:tx>
            <c:rich>
              <a:bodyPr rot="-5400000" vert="horz"/>
              <a:lstStyle/>
              <a:p>
                <a:pPr>
                  <a:defRPr/>
                </a:pPr>
                <a:r>
                  <a:rPr lang="en-GB"/>
                  <a:t>Proportion of Students%</a:t>
                </a:r>
              </a:p>
            </c:rich>
          </c:tx>
          <c:layout>
            <c:manualLayout>
              <c:xMode val="edge"/>
              <c:yMode val="edge"/>
              <c:x val="4.8561766658600312E-2"/>
              <c:y val="0.26906991346521647"/>
            </c:manualLayout>
          </c:layout>
        </c:title>
        <c:numFmt formatCode="0" sourceLinked="1"/>
        <c:tickLblPos val="nextTo"/>
        <c:crossAx val="61677568"/>
        <c:crosses val="autoZero"/>
        <c:crossBetween val="between"/>
      </c:valAx>
      <c:spPr>
        <a:noFill/>
        <a:ln w="25400">
          <a:noFill/>
        </a:ln>
      </c:spPr>
    </c:plotArea>
    <c:legend>
      <c:legendPos val="t"/>
      <c:layout>
        <c:manualLayout>
          <c:xMode val="edge"/>
          <c:yMode val="edge"/>
          <c:x val="0.05"/>
          <c:y val="2.4344293483556611E-2"/>
          <c:w val="0.9"/>
          <c:h val="7.3369291750383633E-2"/>
        </c:manualLayout>
      </c:layout>
    </c:legend>
    <c:plotVisOnly val="1"/>
  </c:chart>
  <c:spPr>
    <a:ln>
      <a:noFill/>
    </a:ln>
  </c:spPr>
  <c:txPr>
    <a:bodyPr/>
    <a:lstStyle/>
    <a:p>
      <a:pPr>
        <a:defRPr sz="1200"/>
      </a:pPr>
      <a:endParaRPr lang="en-US"/>
    </a:p>
  </c:txPr>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D962760-D5C4-46B2-8B96-F921E07D44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17</Pages>
  <Words>2023</Words>
  <Characters>11534</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East London</Company>
  <LinksUpToDate>false</LinksUpToDate>
  <CharactersWithSpaces>13530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Amy1</dc:creator>
  <cp:lastModifiedBy>Earle1</cp:lastModifiedBy>
  <cp:revision>3</cp:revision>
  <cp:lastPrinted>2013-10-03T12:28:00Z</cp:lastPrinted>
  <dcterms:created xsi:type="dcterms:W3CDTF">2013-10-10T10:09:00Z</dcterms:created>
  <dcterms:modified xsi:type="dcterms:W3CDTF">2013-10-21T14:14:00Z</dcterms:modified>
</cp:coreProperties>
</file>