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80" w:rsidRPr="00A216FF" w:rsidRDefault="00523180" w:rsidP="00E87F05">
      <w:pPr>
        <w:tabs>
          <w:tab w:val="left" w:pos="0"/>
          <w:tab w:val="left" w:pos="3119"/>
        </w:tabs>
        <w:rPr>
          <w:rFonts w:ascii="Arial" w:hAnsi="Arial" w:cs="Arial"/>
          <w:b/>
          <w:sz w:val="24"/>
          <w:szCs w:val="24"/>
        </w:rPr>
      </w:pPr>
      <w:r w:rsidRPr="00A216FF">
        <w:rPr>
          <w:rFonts w:ascii="Arial" w:hAnsi="Arial" w:cs="Arial"/>
          <w:b/>
          <w:noProof/>
          <w:sz w:val="24"/>
          <w:szCs w:val="24"/>
          <w:lang w:eastAsia="en-GB"/>
        </w:rPr>
        <w:drawing>
          <wp:inline distT="0" distB="0" distL="0" distR="0">
            <wp:extent cx="1189355" cy="1141095"/>
            <wp:effectExtent l="0" t="0" r="0" b="0"/>
            <wp:docPr id="8" name="Picture 0" descr="u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el-logo.png"/>
                    <pic:cNvPicPr>
                      <a:picLocks noChangeAspect="1" noChangeArrowheads="1"/>
                    </pic:cNvPicPr>
                  </pic:nvPicPr>
                  <pic:blipFill>
                    <a:blip r:embed="rId7" cstate="print"/>
                    <a:srcRect/>
                    <a:stretch>
                      <a:fillRect/>
                    </a:stretch>
                  </pic:blipFill>
                  <pic:spPr bwMode="auto">
                    <a:xfrm>
                      <a:off x="0" y="0"/>
                      <a:ext cx="1189355" cy="1141095"/>
                    </a:xfrm>
                    <a:prstGeom prst="rect">
                      <a:avLst/>
                    </a:prstGeom>
                    <a:noFill/>
                    <a:ln w="9525">
                      <a:noFill/>
                      <a:miter lim="800000"/>
                      <a:headEnd/>
                      <a:tailEnd/>
                    </a:ln>
                  </pic:spPr>
                </pic:pic>
              </a:graphicData>
            </a:graphic>
          </wp:inline>
        </w:drawing>
      </w:r>
    </w:p>
    <w:p w:rsidR="00523180" w:rsidRPr="00A216FF" w:rsidRDefault="00523180" w:rsidP="00E87F05">
      <w:pPr>
        <w:tabs>
          <w:tab w:val="left" w:pos="0"/>
          <w:tab w:val="left" w:pos="3119"/>
        </w:tabs>
        <w:spacing w:after="0" w:line="240" w:lineRule="auto"/>
        <w:rPr>
          <w:rFonts w:ascii="Arial" w:hAnsi="Arial" w:cs="Arial"/>
          <w:b/>
          <w:sz w:val="24"/>
          <w:szCs w:val="24"/>
        </w:rPr>
      </w:pPr>
      <w:r w:rsidRPr="00A216FF">
        <w:rPr>
          <w:rFonts w:ascii="Arial" w:hAnsi="Arial" w:cs="Arial"/>
          <w:b/>
          <w:sz w:val="24"/>
          <w:szCs w:val="24"/>
        </w:rPr>
        <w:t xml:space="preserve">ACADEMIC BOARD </w:t>
      </w:r>
    </w:p>
    <w:p w:rsidR="00523180" w:rsidRPr="00A216FF" w:rsidRDefault="00523180" w:rsidP="00E87F05">
      <w:pPr>
        <w:tabs>
          <w:tab w:val="left" w:pos="0"/>
        </w:tabs>
        <w:spacing w:after="0" w:line="240" w:lineRule="auto"/>
        <w:rPr>
          <w:rFonts w:ascii="Arial" w:hAnsi="Arial" w:cs="Arial"/>
          <w:b/>
          <w:sz w:val="24"/>
          <w:szCs w:val="24"/>
        </w:rPr>
      </w:pPr>
    </w:p>
    <w:p w:rsidR="00523180" w:rsidRPr="00A216FF" w:rsidRDefault="00523180" w:rsidP="00E87F05">
      <w:pPr>
        <w:spacing w:after="0" w:line="240" w:lineRule="auto"/>
        <w:rPr>
          <w:rFonts w:ascii="Arial" w:hAnsi="Arial" w:cs="Arial"/>
          <w:bCs/>
          <w:sz w:val="24"/>
          <w:szCs w:val="24"/>
        </w:rPr>
      </w:pPr>
    </w:p>
    <w:p w:rsidR="00523180" w:rsidRPr="00A216FF" w:rsidRDefault="00523180" w:rsidP="00E87F05">
      <w:pPr>
        <w:spacing w:after="0" w:line="240" w:lineRule="auto"/>
        <w:rPr>
          <w:rFonts w:ascii="Arial" w:hAnsi="Arial" w:cs="Arial"/>
          <w:b/>
          <w:bCs/>
          <w:sz w:val="24"/>
          <w:szCs w:val="24"/>
        </w:rPr>
      </w:pPr>
      <w:r w:rsidRPr="00A216FF">
        <w:rPr>
          <w:rFonts w:ascii="Arial" w:hAnsi="Arial" w:cs="Arial"/>
          <w:b/>
          <w:bCs/>
          <w:sz w:val="24"/>
          <w:szCs w:val="24"/>
        </w:rPr>
        <w:t xml:space="preserve">ANNUAL REPORT ON EXTENUATING CIRCUMSTANCES </w:t>
      </w:r>
      <w:r w:rsidR="00115B5D">
        <w:rPr>
          <w:rFonts w:ascii="Arial" w:hAnsi="Arial" w:cs="Arial"/>
          <w:b/>
          <w:bCs/>
          <w:sz w:val="24"/>
          <w:szCs w:val="24"/>
        </w:rPr>
        <w:t>2014-15</w:t>
      </w:r>
    </w:p>
    <w:p w:rsidR="00523180" w:rsidRPr="00A216FF" w:rsidRDefault="00523180" w:rsidP="00E87F05">
      <w:pPr>
        <w:spacing w:after="0" w:line="240" w:lineRule="auto"/>
        <w:rPr>
          <w:rFonts w:ascii="Arial" w:hAnsi="Arial" w:cs="Arial"/>
          <w:bCs/>
          <w:sz w:val="24"/>
          <w:szCs w:val="24"/>
        </w:rPr>
      </w:pPr>
    </w:p>
    <w:p w:rsidR="00523180" w:rsidRPr="00A216FF" w:rsidRDefault="00523180" w:rsidP="00E87F05">
      <w:pPr>
        <w:tabs>
          <w:tab w:val="left" w:pos="3240"/>
        </w:tabs>
        <w:spacing w:after="0" w:line="240" w:lineRule="auto"/>
        <w:rPr>
          <w:rFonts w:ascii="Arial" w:hAnsi="Arial" w:cs="Arial"/>
          <w:bCs/>
          <w:sz w:val="24"/>
          <w:szCs w:val="24"/>
        </w:rPr>
      </w:pPr>
      <w:r w:rsidRPr="00A216FF">
        <w:rPr>
          <w:rFonts w:ascii="Arial" w:hAnsi="Arial" w:cs="Arial"/>
          <w:b/>
          <w:bCs/>
          <w:sz w:val="24"/>
          <w:szCs w:val="24"/>
        </w:rPr>
        <w:t>This paper is proposed by:</w:t>
      </w:r>
      <w:r w:rsidRPr="00A216FF">
        <w:rPr>
          <w:rFonts w:ascii="Arial" w:hAnsi="Arial" w:cs="Arial"/>
          <w:b/>
          <w:bCs/>
          <w:sz w:val="24"/>
          <w:szCs w:val="24"/>
        </w:rPr>
        <w:tab/>
      </w:r>
      <w:r w:rsidR="00993A6B" w:rsidRPr="00A216FF">
        <w:rPr>
          <w:rFonts w:ascii="Arial" w:hAnsi="Arial" w:cs="Arial"/>
          <w:bCs/>
          <w:sz w:val="24"/>
          <w:szCs w:val="24"/>
        </w:rPr>
        <w:t>Vikki Manning</w:t>
      </w:r>
    </w:p>
    <w:p w:rsidR="00523180" w:rsidRPr="00A216FF" w:rsidRDefault="00523180" w:rsidP="00E87F05">
      <w:pPr>
        <w:tabs>
          <w:tab w:val="left" w:pos="3240"/>
        </w:tabs>
        <w:spacing w:after="0" w:line="240" w:lineRule="auto"/>
        <w:rPr>
          <w:rFonts w:ascii="Arial" w:hAnsi="Arial" w:cs="Arial"/>
          <w:bCs/>
          <w:sz w:val="24"/>
          <w:szCs w:val="24"/>
        </w:rPr>
      </w:pPr>
      <w:r w:rsidRPr="00A216FF">
        <w:rPr>
          <w:rFonts w:ascii="Arial" w:hAnsi="Arial" w:cs="Arial"/>
          <w:bCs/>
          <w:sz w:val="24"/>
          <w:szCs w:val="24"/>
        </w:rPr>
        <w:tab/>
        <w:t>Quality Assurance Officer</w:t>
      </w:r>
    </w:p>
    <w:p w:rsidR="00523180" w:rsidRPr="00A216FF" w:rsidRDefault="005718E2" w:rsidP="00E87F05">
      <w:pPr>
        <w:tabs>
          <w:tab w:val="left" w:pos="3240"/>
        </w:tabs>
        <w:spacing w:after="0" w:line="240" w:lineRule="auto"/>
        <w:rPr>
          <w:rFonts w:ascii="Arial" w:hAnsi="Arial" w:cs="Arial"/>
          <w:bCs/>
          <w:sz w:val="24"/>
          <w:szCs w:val="24"/>
        </w:rPr>
      </w:pPr>
      <w:r w:rsidRPr="00A216FF">
        <w:rPr>
          <w:rFonts w:ascii="Arial" w:hAnsi="Arial" w:cs="Arial"/>
          <w:bCs/>
          <w:sz w:val="24"/>
          <w:szCs w:val="24"/>
        </w:rPr>
        <w:tab/>
        <w:t xml:space="preserve">Tel. 020 8223 </w:t>
      </w:r>
      <w:r w:rsidR="003D0FB0" w:rsidRPr="00A216FF">
        <w:rPr>
          <w:rFonts w:ascii="Arial" w:hAnsi="Arial" w:cs="Arial"/>
          <w:bCs/>
          <w:sz w:val="24"/>
          <w:szCs w:val="24"/>
        </w:rPr>
        <w:t>7471</w:t>
      </w:r>
    </w:p>
    <w:p w:rsidR="003D0FB0" w:rsidRPr="00A216FF" w:rsidRDefault="00523180" w:rsidP="00E87F05">
      <w:pPr>
        <w:tabs>
          <w:tab w:val="left" w:pos="3240"/>
        </w:tabs>
        <w:spacing w:after="0" w:line="240" w:lineRule="auto"/>
        <w:rPr>
          <w:rFonts w:ascii="Arial" w:hAnsi="Arial" w:cs="Arial"/>
          <w:bCs/>
          <w:sz w:val="24"/>
          <w:szCs w:val="24"/>
        </w:rPr>
      </w:pPr>
      <w:r w:rsidRPr="00A216FF">
        <w:rPr>
          <w:rFonts w:ascii="Arial" w:hAnsi="Arial" w:cs="Arial"/>
          <w:bCs/>
          <w:sz w:val="24"/>
          <w:szCs w:val="24"/>
        </w:rPr>
        <w:tab/>
        <w:t xml:space="preserve">E-mail </w:t>
      </w:r>
      <w:hyperlink r:id="rId8" w:history="1">
        <w:r w:rsidR="003D0FB0" w:rsidRPr="00A216FF">
          <w:rPr>
            <w:rStyle w:val="Hyperlink"/>
            <w:rFonts w:ascii="Arial" w:hAnsi="Arial" w:cs="Arial"/>
            <w:bCs/>
            <w:sz w:val="24"/>
            <w:szCs w:val="24"/>
          </w:rPr>
          <w:t>V.Manning@uel.ac.uk</w:t>
        </w:r>
      </w:hyperlink>
    </w:p>
    <w:p w:rsidR="00523180" w:rsidRPr="00A216FF" w:rsidRDefault="005943E4" w:rsidP="00E87F05">
      <w:pPr>
        <w:tabs>
          <w:tab w:val="left" w:pos="3240"/>
        </w:tabs>
        <w:spacing w:after="0" w:line="240" w:lineRule="auto"/>
        <w:rPr>
          <w:rFonts w:ascii="Arial" w:hAnsi="Arial" w:cs="Arial"/>
          <w:bCs/>
          <w:sz w:val="24"/>
          <w:szCs w:val="24"/>
        </w:rPr>
      </w:pPr>
      <w:hyperlink r:id="rId9" w:history="1"/>
      <w:r w:rsidR="00523180" w:rsidRPr="00A216FF">
        <w:rPr>
          <w:rFonts w:ascii="Arial" w:hAnsi="Arial" w:cs="Arial"/>
          <w:sz w:val="24"/>
          <w:szCs w:val="24"/>
        </w:rPr>
        <w:t xml:space="preserve"> </w:t>
      </w:r>
    </w:p>
    <w:p w:rsidR="00523180" w:rsidRPr="00A216FF" w:rsidRDefault="00523180" w:rsidP="00E87F05">
      <w:pPr>
        <w:tabs>
          <w:tab w:val="left" w:pos="3240"/>
        </w:tabs>
        <w:spacing w:after="0" w:line="240" w:lineRule="auto"/>
        <w:rPr>
          <w:rFonts w:ascii="Arial" w:hAnsi="Arial" w:cs="Arial"/>
          <w:bCs/>
          <w:sz w:val="24"/>
          <w:szCs w:val="24"/>
          <w:u w:val="single"/>
        </w:rPr>
      </w:pPr>
    </w:p>
    <w:p w:rsidR="00523180" w:rsidRPr="00A216FF" w:rsidRDefault="00523180" w:rsidP="00E87F05">
      <w:pPr>
        <w:tabs>
          <w:tab w:val="left" w:pos="3240"/>
        </w:tabs>
        <w:spacing w:after="0" w:line="240" w:lineRule="auto"/>
        <w:rPr>
          <w:rFonts w:ascii="Arial" w:hAnsi="Arial" w:cs="Arial"/>
          <w:b/>
          <w:sz w:val="24"/>
          <w:szCs w:val="24"/>
        </w:rPr>
      </w:pPr>
      <w:r w:rsidRPr="00A216FF">
        <w:rPr>
          <w:rFonts w:ascii="Arial" w:hAnsi="Arial" w:cs="Arial"/>
          <w:b/>
          <w:sz w:val="24"/>
          <w:szCs w:val="24"/>
        </w:rPr>
        <w:t xml:space="preserve">Prepared on: </w:t>
      </w:r>
      <w:r w:rsidR="00E87F05">
        <w:rPr>
          <w:rFonts w:ascii="Arial" w:hAnsi="Arial" w:cs="Arial"/>
          <w:b/>
          <w:sz w:val="24"/>
          <w:szCs w:val="24"/>
        </w:rPr>
        <w:t>19</w:t>
      </w:r>
      <w:r w:rsidR="007A6820" w:rsidRPr="007A6820">
        <w:rPr>
          <w:rFonts w:ascii="Arial" w:hAnsi="Arial" w:cs="Arial"/>
          <w:b/>
          <w:sz w:val="24"/>
          <w:szCs w:val="24"/>
          <w:vertAlign w:val="superscript"/>
        </w:rPr>
        <w:t>th</w:t>
      </w:r>
      <w:r w:rsidR="00E50521">
        <w:rPr>
          <w:rFonts w:ascii="Arial" w:hAnsi="Arial" w:cs="Arial"/>
          <w:b/>
          <w:sz w:val="24"/>
          <w:szCs w:val="24"/>
        </w:rPr>
        <w:t xml:space="preserve"> October</w:t>
      </w:r>
      <w:r w:rsidR="007A6820">
        <w:rPr>
          <w:rFonts w:ascii="Arial" w:hAnsi="Arial" w:cs="Arial"/>
          <w:b/>
          <w:sz w:val="24"/>
          <w:szCs w:val="24"/>
        </w:rPr>
        <w:t xml:space="preserve"> </w:t>
      </w:r>
      <w:r w:rsidR="00CD2F5E">
        <w:rPr>
          <w:rFonts w:ascii="Arial" w:hAnsi="Arial" w:cs="Arial"/>
          <w:b/>
          <w:sz w:val="24"/>
          <w:szCs w:val="24"/>
        </w:rPr>
        <w:t>2015</w:t>
      </w:r>
      <w:r w:rsidRPr="00A216FF">
        <w:rPr>
          <w:rFonts w:ascii="Arial" w:hAnsi="Arial" w:cs="Arial"/>
          <w:b/>
          <w:sz w:val="24"/>
          <w:szCs w:val="24"/>
        </w:rPr>
        <w:tab/>
      </w:r>
    </w:p>
    <w:p w:rsidR="00523180" w:rsidRPr="00A216FF" w:rsidRDefault="00523180" w:rsidP="00E87F05">
      <w:pPr>
        <w:tabs>
          <w:tab w:val="left" w:pos="3240"/>
        </w:tabs>
        <w:spacing w:after="0" w:line="240" w:lineRule="auto"/>
        <w:rPr>
          <w:rFonts w:ascii="Arial" w:hAnsi="Arial" w:cs="Arial"/>
          <w:b/>
          <w:bCs/>
          <w:sz w:val="24"/>
          <w:szCs w:val="24"/>
        </w:rPr>
      </w:pPr>
    </w:p>
    <w:p w:rsidR="00523180" w:rsidRPr="00A216FF" w:rsidRDefault="00523180" w:rsidP="00E87F05">
      <w:pPr>
        <w:tabs>
          <w:tab w:val="left" w:pos="3240"/>
        </w:tabs>
        <w:spacing w:after="0" w:line="240" w:lineRule="auto"/>
        <w:ind w:left="3240" w:right="-330" w:hanging="3240"/>
        <w:rPr>
          <w:rFonts w:ascii="Arial" w:hAnsi="Arial" w:cs="Arial"/>
          <w:b/>
          <w:sz w:val="24"/>
          <w:szCs w:val="24"/>
        </w:rPr>
      </w:pPr>
      <w:r w:rsidRPr="00A216FF">
        <w:rPr>
          <w:rFonts w:ascii="Arial" w:hAnsi="Arial" w:cs="Arial"/>
          <w:b/>
          <w:sz w:val="24"/>
          <w:szCs w:val="24"/>
        </w:rPr>
        <w:t>Status:    For Consideration and Approval</w:t>
      </w:r>
    </w:p>
    <w:p w:rsidR="00523180" w:rsidRPr="00A216FF" w:rsidRDefault="00523180" w:rsidP="00E87F05">
      <w:pPr>
        <w:tabs>
          <w:tab w:val="left" w:pos="3240"/>
        </w:tabs>
        <w:spacing w:after="0" w:line="240" w:lineRule="auto"/>
        <w:ind w:left="3240" w:hanging="3240"/>
        <w:rPr>
          <w:rFonts w:ascii="Arial" w:hAnsi="Arial" w:cs="Arial"/>
          <w:sz w:val="24"/>
          <w:szCs w:val="24"/>
        </w:rPr>
      </w:pPr>
      <w:r w:rsidRPr="00A216FF">
        <w:rPr>
          <w:rFonts w:ascii="Arial" w:hAnsi="Arial" w:cs="Arial"/>
          <w:sz w:val="24"/>
          <w:szCs w:val="24"/>
        </w:rPr>
        <w:tab/>
      </w:r>
    </w:p>
    <w:p w:rsidR="00523180" w:rsidRPr="00A216FF" w:rsidRDefault="00523180" w:rsidP="00E87F05">
      <w:pPr>
        <w:tabs>
          <w:tab w:val="center" w:pos="1418"/>
          <w:tab w:val="left" w:pos="1843"/>
        </w:tabs>
        <w:spacing w:after="0" w:line="240" w:lineRule="auto"/>
        <w:rPr>
          <w:rFonts w:ascii="Arial" w:hAnsi="Arial" w:cs="Arial"/>
          <w:sz w:val="24"/>
          <w:szCs w:val="24"/>
        </w:rPr>
      </w:pPr>
      <w:r w:rsidRPr="00A216FF">
        <w:rPr>
          <w:rFonts w:ascii="Arial" w:hAnsi="Arial" w:cs="Arial"/>
          <w:b/>
          <w:sz w:val="24"/>
          <w:szCs w:val="24"/>
        </w:rPr>
        <w:t>________________________________________________________________</w:t>
      </w:r>
    </w:p>
    <w:p w:rsidR="00523180" w:rsidRPr="00A216FF" w:rsidRDefault="00523180" w:rsidP="00E87F05">
      <w:pPr>
        <w:tabs>
          <w:tab w:val="center" w:pos="1418"/>
          <w:tab w:val="left" w:pos="1843"/>
        </w:tabs>
        <w:spacing w:after="0" w:line="240" w:lineRule="auto"/>
        <w:rPr>
          <w:rFonts w:ascii="Arial" w:hAnsi="Arial" w:cs="Arial"/>
          <w:sz w:val="24"/>
          <w:szCs w:val="24"/>
        </w:rPr>
      </w:pPr>
    </w:p>
    <w:p w:rsidR="00523180" w:rsidRPr="00A216FF" w:rsidRDefault="00523180" w:rsidP="00E87F05">
      <w:pPr>
        <w:tabs>
          <w:tab w:val="center" w:pos="1418"/>
          <w:tab w:val="left" w:pos="1843"/>
        </w:tabs>
        <w:spacing w:after="0" w:line="240" w:lineRule="auto"/>
        <w:rPr>
          <w:rFonts w:ascii="Arial" w:hAnsi="Arial" w:cs="Arial"/>
          <w:b/>
          <w:sz w:val="24"/>
          <w:szCs w:val="24"/>
        </w:rPr>
      </w:pPr>
      <w:r w:rsidRPr="00A216FF">
        <w:rPr>
          <w:rFonts w:ascii="Arial" w:hAnsi="Arial" w:cs="Arial"/>
          <w:b/>
          <w:sz w:val="24"/>
          <w:szCs w:val="24"/>
        </w:rPr>
        <w:t>Executive summary</w:t>
      </w:r>
    </w:p>
    <w:p w:rsidR="00523180" w:rsidRPr="00A216FF" w:rsidRDefault="00523180" w:rsidP="00E87F05">
      <w:pPr>
        <w:spacing w:after="0" w:line="240" w:lineRule="auto"/>
        <w:rPr>
          <w:rFonts w:ascii="Arial" w:hAnsi="Arial" w:cs="Arial"/>
          <w:strike/>
          <w:sz w:val="24"/>
          <w:szCs w:val="24"/>
        </w:rPr>
      </w:pPr>
    </w:p>
    <w:p w:rsidR="00C862BD" w:rsidRPr="00A216FF" w:rsidRDefault="00523180" w:rsidP="00E87F05">
      <w:pPr>
        <w:spacing w:after="0" w:line="240" w:lineRule="auto"/>
        <w:rPr>
          <w:rFonts w:ascii="Arial" w:hAnsi="Arial" w:cs="Arial"/>
          <w:sz w:val="24"/>
          <w:szCs w:val="24"/>
        </w:rPr>
      </w:pPr>
      <w:r w:rsidRPr="00A216FF">
        <w:rPr>
          <w:rFonts w:ascii="Arial" w:hAnsi="Arial" w:cs="Arial"/>
          <w:sz w:val="24"/>
          <w:szCs w:val="24"/>
        </w:rPr>
        <w:t xml:space="preserve">This paper provides a brief overview of the use of extenuating circumstances procedures by students in the academic year </w:t>
      </w:r>
      <w:r w:rsidR="007A6820">
        <w:rPr>
          <w:rFonts w:ascii="Arial" w:hAnsi="Arial" w:cs="Arial"/>
          <w:sz w:val="24"/>
          <w:szCs w:val="24"/>
        </w:rPr>
        <w:t>2014-15</w:t>
      </w:r>
      <w:r w:rsidR="00AC3ED8" w:rsidRPr="00A216FF">
        <w:rPr>
          <w:rFonts w:ascii="Arial" w:hAnsi="Arial" w:cs="Arial"/>
          <w:sz w:val="24"/>
          <w:szCs w:val="24"/>
        </w:rPr>
        <w:t xml:space="preserve">. </w:t>
      </w:r>
      <w:r w:rsidR="00C862BD" w:rsidRPr="00A216FF">
        <w:rPr>
          <w:rFonts w:ascii="Arial" w:hAnsi="Arial" w:cs="Arial"/>
          <w:sz w:val="24"/>
          <w:szCs w:val="24"/>
        </w:rPr>
        <w:t>An evaluation of claims by demographical characteristic was conducted in line with equality and diversity monitoring.</w:t>
      </w:r>
      <w:r w:rsidR="00C862BD" w:rsidRPr="00A216FF" w:rsidDel="0055588A">
        <w:rPr>
          <w:rFonts w:ascii="Arial" w:hAnsi="Arial" w:cs="Arial"/>
          <w:sz w:val="24"/>
          <w:szCs w:val="24"/>
        </w:rPr>
        <w:t xml:space="preserve"> </w:t>
      </w:r>
    </w:p>
    <w:p w:rsidR="00C862BD" w:rsidRPr="00A216FF" w:rsidRDefault="00C862BD" w:rsidP="00E87F05">
      <w:pPr>
        <w:spacing w:after="0" w:line="240" w:lineRule="auto"/>
        <w:rPr>
          <w:rFonts w:ascii="Arial" w:hAnsi="Arial" w:cs="Arial"/>
          <w:sz w:val="24"/>
          <w:szCs w:val="24"/>
        </w:rPr>
      </w:pPr>
    </w:p>
    <w:p w:rsidR="00523180" w:rsidRPr="00A216FF" w:rsidRDefault="00523180" w:rsidP="00E87F05">
      <w:pPr>
        <w:tabs>
          <w:tab w:val="center" w:pos="1418"/>
          <w:tab w:val="left" w:pos="1843"/>
        </w:tabs>
        <w:spacing w:after="0" w:line="240" w:lineRule="auto"/>
        <w:rPr>
          <w:rFonts w:ascii="Arial" w:hAnsi="Arial" w:cs="Arial"/>
          <w:sz w:val="24"/>
          <w:szCs w:val="24"/>
        </w:rPr>
      </w:pPr>
      <w:r w:rsidRPr="00A216FF">
        <w:rPr>
          <w:rFonts w:ascii="Arial" w:hAnsi="Arial" w:cs="Arial"/>
          <w:b/>
          <w:sz w:val="24"/>
          <w:szCs w:val="24"/>
        </w:rPr>
        <w:t>________________________________________________________________</w:t>
      </w:r>
    </w:p>
    <w:p w:rsidR="005112D6" w:rsidRPr="00A216FF" w:rsidRDefault="005112D6" w:rsidP="00E87F05">
      <w:pPr>
        <w:rPr>
          <w:rFonts w:ascii="Arial" w:hAnsi="Arial" w:cs="Arial"/>
          <w:sz w:val="24"/>
          <w:szCs w:val="24"/>
        </w:rPr>
      </w:pPr>
    </w:p>
    <w:p w:rsidR="005112D6" w:rsidRPr="00A216FF" w:rsidRDefault="005112D6" w:rsidP="00E87F05">
      <w:pPr>
        <w:pStyle w:val="ListParagraph"/>
        <w:numPr>
          <w:ilvl w:val="0"/>
          <w:numId w:val="1"/>
        </w:numPr>
        <w:ind w:left="0" w:firstLine="0"/>
        <w:rPr>
          <w:rFonts w:ascii="Arial" w:hAnsi="Arial" w:cs="Arial"/>
          <w:b/>
          <w:sz w:val="24"/>
          <w:szCs w:val="24"/>
        </w:rPr>
      </w:pPr>
      <w:r w:rsidRPr="00A216FF">
        <w:rPr>
          <w:rFonts w:ascii="Arial" w:hAnsi="Arial" w:cs="Arial"/>
          <w:b/>
          <w:sz w:val="24"/>
          <w:szCs w:val="24"/>
        </w:rPr>
        <w:t>Introduction</w:t>
      </w:r>
    </w:p>
    <w:p w:rsidR="005112D6" w:rsidRPr="00A216FF" w:rsidRDefault="00FB4577" w:rsidP="00E87F05">
      <w:pPr>
        <w:pStyle w:val="ListParagraph"/>
        <w:numPr>
          <w:ilvl w:val="1"/>
          <w:numId w:val="3"/>
        </w:numPr>
        <w:ind w:left="709" w:hanging="709"/>
        <w:rPr>
          <w:rFonts w:ascii="Arial" w:hAnsi="Arial" w:cs="Arial"/>
          <w:sz w:val="24"/>
          <w:szCs w:val="24"/>
        </w:rPr>
      </w:pPr>
      <w:r w:rsidRPr="00A216FF">
        <w:rPr>
          <w:rFonts w:ascii="Arial" w:hAnsi="Arial" w:cs="Arial"/>
          <w:sz w:val="24"/>
          <w:szCs w:val="24"/>
        </w:rPr>
        <w:t xml:space="preserve">This report covers the operation of </w:t>
      </w:r>
      <w:r w:rsidR="00762F2F" w:rsidRPr="00A216FF">
        <w:rPr>
          <w:rFonts w:ascii="Arial" w:hAnsi="Arial" w:cs="Arial"/>
          <w:sz w:val="24"/>
          <w:szCs w:val="24"/>
        </w:rPr>
        <w:t>e</w:t>
      </w:r>
      <w:r w:rsidRPr="00A216FF">
        <w:rPr>
          <w:rFonts w:ascii="Arial" w:hAnsi="Arial" w:cs="Arial"/>
          <w:sz w:val="24"/>
          <w:szCs w:val="24"/>
        </w:rPr>
        <w:t xml:space="preserve">xtenuating </w:t>
      </w:r>
      <w:r w:rsidR="00762F2F" w:rsidRPr="00A216FF">
        <w:rPr>
          <w:rFonts w:ascii="Arial" w:hAnsi="Arial" w:cs="Arial"/>
          <w:sz w:val="24"/>
          <w:szCs w:val="24"/>
        </w:rPr>
        <w:t>c</w:t>
      </w:r>
      <w:r w:rsidRPr="00A216FF">
        <w:rPr>
          <w:rFonts w:ascii="Arial" w:hAnsi="Arial" w:cs="Arial"/>
          <w:sz w:val="24"/>
          <w:szCs w:val="24"/>
        </w:rPr>
        <w:t>ircumsta</w:t>
      </w:r>
      <w:r w:rsidR="00762F2F" w:rsidRPr="00A216FF">
        <w:rPr>
          <w:rFonts w:ascii="Arial" w:hAnsi="Arial" w:cs="Arial"/>
          <w:sz w:val="24"/>
          <w:szCs w:val="24"/>
        </w:rPr>
        <w:t xml:space="preserve">nces procedures for the </w:t>
      </w:r>
      <w:r w:rsidR="00D4164A">
        <w:rPr>
          <w:rFonts w:ascii="Arial" w:hAnsi="Arial" w:cs="Arial"/>
          <w:sz w:val="24"/>
          <w:szCs w:val="24"/>
        </w:rPr>
        <w:t xml:space="preserve">academic </w:t>
      </w:r>
      <w:r w:rsidR="00762F2F" w:rsidRPr="00A216FF">
        <w:rPr>
          <w:rFonts w:ascii="Arial" w:hAnsi="Arial" w:cs="Arial"/>
          <w:sz w:val="24"/>
          <w:szCs w:val="24"/>
        </w:rPr>
        <w:t xml:space="preserve">year </w:t>
      </w:r>
      <w:r w:rsidR="007A6820">
        <w:rPr>
          <w:rFonts w:ascii="Arial" w:hAnsi="Arial" w:cs="Arial"/>
          <w:sz w:val="24"/>
          <w:szCs w:val="24"/>
        </w:rPr>
        <w:t>2014-15</w:t>
      </w:r>
      <w:r w:rsidRPr="00A216FF">
        <w:rPr>
          <w:rFonts w:ascii="Arial" w:hAnsi="Arial" w:cs="Arial"/>
          <w:sz w:val="24"/>
          <w:szCs w:val="24"/>
        </w:rPr>
        <w:t xml:space="preserve">.  </w:t>
      </w:r>
      <w:r w:rsidR="00D67DDF" w:rsidRPr="00A216FF">
        <w:rPr>
          <w:rFonts w:ascii="Arial" w:hAnsi="Arial" w:cs="Arial"/>
          <w:sz w:val="24"/>
          <w:szCs w:val="24"/>
        </w:rPr>
        <w:t xml:space="preserve">All </w:t>
      </w:r>
      <w:r w:rsidR="00DD20BF" w:rsidRPr="00A216FF">
        <w:rPr>
          <w:rFonts w:ascii="Arial" w:hAnsi="Arial" w:cs="Arial"/>
          <w:sz w:val="24"/>
          <w:szCs w:val="24"/>
        </w:rPr>
        <w:t xml:space="preserve">the </w:t>
      </w:r>
      <w:r w:rsidRPr="00A216FF">
        <w:rPr>
          <w:rFonts w:ascii="Arial" w:hAnsi="Arial" w:cs="Arial"/>
          <w:sz w:val="24"/>
          <w:szCs w:val="24"/>
        </w:rPr>
        <w:t xml:space="preserve">data </w:t>
      </w:r>
      <w:r w:rsidR="00DD20BF" w:rsidRPr="00A216FF">
        <w:rPr>
          <w:rFonts w:ascii="Arial" w:hAnsi="Arial" w:cs="Arial"/>
          <w:sz w:val="24"/>
          <w:szCs w:val="24"/>
        </w:rPr>
        <w:t xml:space="preserve">shown </w:t>
      </w:r>
      <w:r w:rsidRPr="00A216FF">
        <w:rPr>
          <w:rFonts w:ascii="Arial" w:hAnsi="Arial" w:cs="Arial"/>
          <w:sz w:val="24"/>
          <w:szCs w:val="24"/>
        </w:rPr>
        <w:t>is</w:t>
      </w:r>
      <w:r w:rsidR="00D67DDF" w:rsidRPr="00A216FF">
        <w:rPr>
          <w:rFonts w:ascii="Arial" w:hAnsi="Arial" w:cs="Arial"/>
          <w:sz w:val="24"/>
          <w:szCs w:val="24"/>
        </w:rPr>
        <w:t xml:space="preserve"> for this institution only, as collaborative partners manage their own extenuation claims.</w:t>
      </w:r>
    </w:p>
    <w:p w:rsidR="00762F2F" w:rsidRPr="00A216FF" w:rsidRDefault="00762F2F" w:rsidP="00E87F05">
      <w:pPr>
        <w:pStyle w:val="ListParagraph"/>
        <w:ind w:left="709"/>
        <w:rPr>
          <w:rFonts w:ascii="Arial" w:hAnsi="Arial" w:cs="Arial"/>
          <w:sz w:val="24"/>
          <w:szCs w:val="24"/>
        </w:rPr>
      </w:pPr>
    </w:p>
    <w:p w:rsidR="00E87F05" w:rsidRDefault="00AC3ED8" w:rsidP="001226FD">
      <w:pPr>
        <w:pStyle w:val="ListParagraph"/>
        <w:numPr>
          <w:ilvl w:val="1"/>
          <w:numId w:val="3"/>
        </w:numPr>
        <w:ind w:left="709" w:hanging="709"/>
        <w:rPr>
          <w:rFonts w:ascii="Arial" w:hAnsi="Arial" w:cs="Arial"/>
          <w:sz w:val="24"/>
          <w:szCs w:val="24"/>
        </w:rPr>
      </w:pPr>
      <w:r w:rsidRPr="00996A29">
        <w:rPr>
          <w:rFonts w:ascii="Arial" w:hAnsi="Arial" w:cs="Arial"/>
          <w:sz w:val="24"/>
          <w:szCs w:val="24"/>
        </w:rPr>
        <w:tab/>
      </w:r>
      <w:r w:rsidR="0075010E" w:rsidRPr="00996A29">
        <w:rPr>
          <w:rFonts w:ascii="Arial" w:hAnsi="Arial" w:cs="Arial"/>
          <w:sz w:val="24"/>
          <w:szCs w:val="24"/>
        </w:rPr>
        <w:t xml:space="preserve">There were </w:t>
      </w:r>
      <w:r w:rsidR="00E87F05" w:rsidRPr="00996A29">
        <w:rPr>
          <w:rFonts w:ascii="Arial" w:hAnsi="Arial" w:cs="Arial"/>
          <w:sz w:val="24"/>
          <w:szCs w:val="24"/>
        </w:rPr>
        <w:t>some changes in the way</w:t>
      </w:r>
      <w:r w:rsidR="00F70E11">
        <w:rPr>
          <w:rFonts w:ascii="Arial" w:hAnsi="Arial" w:cs="Arial"/>
          <w:sz w:val="24"/>
          <w:szCs w:val="24"/>
        </w:rPr>
        <w:t xml:space="preserve"> in which</w:t>
      </w:r>
      <w:r w:rsidR="00E87F05" w:rsidRPr="00996A29">
        <w:rPr>
          <w:rFonts w:ascii="Arial" w:hAnsi="Arial" w:cs="Arial"/>
          <w:sz w:val="24"/>
          <w:szCs w:val="24"/>
        </w:rPr>
        <w:t xml:space="preserve"> extenuati</w:t>
      </w:r>
      <w:r w:rsidR="006739F1">
        <w:rPr>
          <w:rFonts w:ascii="Arial" w:hAnsi="Arial" w:cs="Arial"/>
          <w:sz w:val="24"/>
          <w:szCs w:val="24"/>
        </w:rPr>
        <w:t>ng circumstances claim forms were</w:t>
      </w:r>
      <w:r w:rsidR="00E87F05" w:rsidRPr="00996A29">
        <w:rPr>
          <w:rFonts w:ascii="Arial" w:hAnsi="Arial" w:cs="Arial"/>
          <w:sz w:val="24"/>
          <w:szCs w:val="24"/>
        </w:rPr>
        <w:t xml:space="preserve"> processed and the </w:t>
      </w:r>
      <w:r w:rsidR="009326A0">
        <w:rPr>
          <w:rFonts w:ascii="Arial" w:hAnsi="Arial" w:cs="Arial"/>
          <w:sz w:val="24"/>
          <w:szCs w:val="24"/>
        </w:rPr>
        <w:t xml:space="preserve">way the </w:t>
      </w:r>
      <w:r w:rsidR="00E87F05" w:rsidRPr="00996A29">
        <w:rPr>
          <w:rFonts w:ascii="Arial" w:hAnsi="Arial" w:cs="Arial"/>
          <w:sz w:val="24"/>
          <w:szCs w:val="24"/>
        </w:rPr>
        <w:t xml:space="preserve">results </w:t>
      </w:r>
      <w:r w:rsidR="009326A0">
        <w:rPr>
          <w:rFonts w:ascii="Arial" w:hAnsi="Arial" w:cs="Arial"/>
          <w:sz w:val="24"/>
          <w:szCs w:val="24"/>
        </w:rPr>
        <w:t xml:space="preserve">were </w:t>
      </w:r>
      <w:r w:rsidR="00E87F05" w:rsidRPr="00996A29">
        <w:rPr>
          <w:rFonts w:ascii="Arial" w:hAnsi="Arial" w:cs="Arial"/>
          <w:sz w:val="24"/>
          <w:szCs w:val="24"/>
        </w:rPr>
        <w:t>published in 2014/15. As of January 2015 students submit</w:t>
      </w:r>
      <w:r w:rsidR="00F70E11">
        <w:rPr>
          <w:rFonts w:ascii="Arial" w:hAnsi="Arial" w:cs="Arial"/>
          <w:sz w:val="24"/>
          <w:szCs w:val="24"/>
        </w:rPr>
        <w:t>ted</w:t>
      </w:r>
      <w:r w:rsidR="00DB205F">
        <w:rPr>
          <w:rFonts w:ascii="Arial" w:hAnsi="Arial" w:cs="Arial"/>
          <w:sz w:val="24"/>
          <w:szCs w:val="24"/>
        </w:rPr>
        <w:t xml:space="preserve"> their forms to S</w:t>
      </w:r>
      <w:r w:rsidR="00E87F05" w:rsidRPr="00996A29">
        <w:rPr>
          <w:rFonts w:ascii="Arial" w:hAnsi="Arial" w:cs="Arial"/>
          <w:sz w:val="24"/>
          <w:szCs w:val="24"/>
        </w:rPr>
        <w:t>tudent Hubs and not School Helpdesks</w:t>
      </w:r>
      <w:r w:rsidR="00F70E11">
        <w:rPr>
          <w:rFonts w:ascii="Arial" w:hAnsi="Arial" w:cs="Arial"/>
          <w:sz w:val="24"/>
          <w:szCs w:val="24"/>
        </w:rPr>
        <w:t xml:space="preserve"> as was previously the case. As a result</w:t>
      </w:r>
      <w:r w:rsidR="00DB205F">
        <w:rPr>
          <w:rFonts w:ascii="Arial" w:hAnsi="Arial" w:cs="Arial"/>
          <w:sz w:val="24"/>
          <w:szCs w:val="24"/>
        </w:rPr>
        <w:t xml:space="preserve"> </w:t>
      </w:r>
      <w:r w:rsidR="009326A0">
        <w:rPr>
          <w:rFonts w:ascii="Arial" w:hAnsi="Arial" w:cs="Arial"/>
          <w:sz w:val="24"/>
          <w:szCs w:val="24"/>
        </w:rPr>
        <w:t>of</w:t>
      </w:r>
      <w:r w:rsidR="00E87F05" w:rsidRPr="00996A29">
        <w:rPr>
          <w:rFonts w:ascii="Arial" w:hAnsi="Arial" w:cs="Arial"/>
          <w:sz w:val="24"/>
          <w:szCs w:val="24"/>
        </w:rPr>
        <w:t xml:space="preserve"> the staff re-structure and the introduction of a centralised Academic Registry in January, the decisions spreadsheets ar</w:t>
      </w:r>
      <w:r w:rsidR="00996A29" w:rsidRPr="00996A29">
        <w:rPr>
          <w:rFonts w:ascii="Arial" w:hAnsi="Arial" w:cs="Arial"/>
          <w:sz w:val="24"/>
          <w:szCs w:val="24"/>
        </w:rPr>
        <w:t xml:space="preserve">e </w:t>
      </w:r>
      <w:r w:rsidR="00F70E11">
        <w:rPr>
          <w:rFonts w:ascii="Arial" w:hAnsi="Arial" w:cs="Arial"/>
          <w:sz w:val="24"/>
          <w:szCs w:val="24"/>
        </w:rPr>
        <w:t xml:space="preserve">now </w:t>
      </w:r>
      <w:r w:rsidR="00996A29" w:rsidRPr="00996A29">
        <w:rPr>
          <w:rFonts w:ascii="Arial" w:hAnsi="Arial" w:cs="Arial"/>
          <w:sz w:val="24"/>
          <w:szCs w:val="24"/>
        </w:rPr>
        <w:t xml:space="preserve">sent to the Assessment Unit </w:t>
      </w:r>
      <w:r w:rsidR="00DB205F">
        <w:rPr>
          <w:rFonts w:ascii="Arial" w:hAnsi="Arial" w:cs="Arial"/>
          <w:sz w:val="24"/>
          <w:szCs w:val="24"/>
        </w:rPr>
        <w:t xml:space="preserve">for the Delta codes to be input </w:t>
      </w:r>
      <w:r w:rsidR="00996A29" w:rsidRPr="00996A29">
        <w:rPr>
          <w:rFonts w:ascii="Arial" w:hAnsi="Arial" w:cs="Arial"/>
          <w:sz w:val="24"/>
          <w:szCs w:val="24"/>
        </w:rPr>
        <w:t>and not</w:t>
      </w:r>
      <w:r w:rsidR="00996A29">
        <w:rPr>
          <w:rFonts w:ascii="Arial" w:hAnsi="Arial" w:cs="Arial"/>
          <w:sz w:val="24"/>
          <w:szCs w:val="24"/>
        </w:rPr>
        <w:t xml:space="preserve"> to</w:t>
      </w:r>
      <w:r w:rsidR="00E87F05" w:rsidRPr="00996A29">
        <w:rPr>
          <w:rFonts w:ascii="Arial" w:hAnsi="Arial" w:cs="Arial"/>
          <w:sz w:val="24"/>
          <w:szCs w:val="24"/>
        </w:rPr>
        <w:t xml:space="preserve"> School Registrars</w:t>
      </w:r>
    </w:p>
    <w:p w:rsidR="006739F1" w:rsidRPr="006739F1" w:rsidRDefault="006739F1" w:rsidP="006739F1">
      <w:pPr>
        <w:pStyle w:val="ListParagraph"/>
        <w:rPr>
          <w:rFonts w:ascii="Arial" w:hAnsi="Arial" w:cs="Arial"/>
          <w:sz w:val="24"/>
          <w:szCs w:val="24"/>
        </w:rPr>
      </w:pPr>
    </w:p>
    <w:p w:rsidR="006739F1" w:rsidRPr="00DB205F" w:rsidRDefault="006739F1" w:rsidP="00DB205F">
      <w:pPr>
        <w:pStyle w:val="ListParagraph"/>
        <w:numPr>
          <w:ilvl w:val="1"/>
          <w:numId w:val="3"/>
        </w:numPr>
        <w:ind w:left="709" w:hanging="709"/>
        <w:rPr>
          <w:rFonts w:ascii="Arial" w:hAnsi="Arial" w:cs="Arial"/>
          <w:sz w:val="24"/>
          <w:szCs w:val="24"/>
        </w:rPr>
      </w:pPr>
      <w:r>
        <w:rPr>
          <w:rFonts w:ascii="Arial" w:hAnsi="Arial" w:cs="Arial"/>
          <w:sz w:val="24"/>
          <w:szCs w:val="24"/>
        </w:rPr>
        <w:t xml:space="preserve">The process for managing students who submit evidence that is returned as not genuine has also changed. Previously students that submitted fraudulent </w:t>
      </w:r>
      <w:r>
        <w:rPr>
          <w:rFonts w:ascii="Arial" w:hAnsi="Arial" w:cs="Arial"/>
          <w:sz w:val="24"/>
          <w:szCs w:val="24"/>
        </w:rPr>
        <w:lastRenderedPageBreak/>
        <w:t>evidence would be processed through the academic misconduct procedures. Ho</w:t>
      </w:r>
      <w:r w:rsidR="009326A0">
        <w:rPr>
          <w:rFonts w:ascii="Arial" w:hAnsi="Arial" w:cs="Arial"/>
          <w:sz w:val="24"/>
          <w:szCs w:val="24"/>
        </w:rPr>
        <w:t>wever from 2014/15 students are</w:t>
      </w:r>
      <w:r>
        <w:rPr>
          <w:rFonts w:ascii="Arial" w:hAnsi="Arial" w:cs="Arial"/>
          <w:sz w:val="24"/>
          <w:szCs w:val="24"/>
        </w:rPr>
        <w:t xml:space="preserve"> subject to a student disciplinary if </w:t>
      </w:r>
      <w:r w:rsidR="009326A0">
        <w:rPr>
          <w:rFonts w:ascii="Arial" w:hAnsi="Arial" w:cs="Arial"/>
          <w:sz w:val="24"/>
          <w:szCs w:val="24"/>
        </w:rPr>
        <w:t xml:space="preserve">their </w:t>
      </w:r>
      <w:r>
        <w:rPr>
          <w:rFonts w:ascii="Arial" w:hAnsi="Arial" w:cs="Arial"/>
          <w:sz w:val="24"/>
          <w:szCs w:val="24"/>
        </w:rPr>
        <w:t xml:space="preserve">evidence </w:t>
      </w:r>
      <w:r w:rsidR="009326A0">
        <w:rPr>
          <w:rFonts w:ascii="Arial" w:hAnsi="Arial" w:cs="Arial"/>
          <w:sz w:val="24"/>
          <w:szCs w:val="24"/>
        </w:rPr>
        <w:t>submitted is</w:t>
      </w:r>
      <w:r>
        <w:rPr>
          <w:rFonts w:ascii="Arial" w:hAnsi="Arial" w:cs="Arial"/>
          <w:sz w:val="24"/>
          <w:szCs w:val="24"/>
        </w:rPr>
        <w:t xml:space="preserve"> returned as not genuine.</w:t>
      </w:r>
    </w:p>
    <w:p w:rsidR="00996A29" w:rsidRPr="00996A29" w:rsidRDefault="00996A29" w:rsidP="00996A29">
      <w:pPr>
        <w:pStyle w:val="ListParagraph"/>
        <w:ind w:left="709"/>
        <w:rPr>
          <w:rFonts w:ascii="Arial" w:hAnsi="Arial" w:cs="Arial"/>
          <w:sz w:val="24"/>
          <w:szCs w:val="24"/>
        </w:rPr>
      </w:pPr>
    </w:p>
    <w:p w:rsidR="007A6820" w:rsidRPr="00E87F05" w:rsidRDefault="00E87F05" w:rsidP="00E87F05">
      <w:pPr>
        <w:pStyle w:val="ListParagraph"/>
        <w:numPr>
          <w:ilvl w:val="1"/>
          <w:numId w:val="3"/>
        </w:numPr>
        <w:ind w:left="709" w:hanging="709"/>
        <w:rPr>
          <w:rFonts w:ascii="Arial" w:hAnsi="Arial" w:cs="Arial"/>
          <w:sz w:val="24"/>
          <w:szCs w:val="24"/>
        </w:rPr>
      </w:pPr>
      <w:r>
        <w:rPr>
          <w:rFonts w:ascii="Arial" w:hAnsi="Arial" w:cs="Arial"/>
          <w:sz w:val="24"/>
          <w:szCs w:val="24"/>
        </w:rPr>
        <w:t>The</w:t>
      </w:r>
      <w:r w:rsidR="00A216FF" w:rsidRPr="0075010E">
        <w:rPr>
          <w:rFonts w:ascii="Arial" w:hAnsi="Arial" w:cs="Arial"/>
          <w:sz w:val="24"/>
          <w:szCs w:val="24"/>
        </w:rPr>
        <w:t xml:space="preserve"> Chair of the Extenuation Panel </w:t>
      </w:r>
      <w:r>
        <w:rPr>
          <w:rFonts w:ascii="Arial" w:hAnsi="Arial" w:cs="Arial"/>
          <w:sz w:val="24"/>
          <w:szCs w:val="24"/>
        </w:rPr>
        <w:t xml:space="preserve">also </w:t>
      </w:r>
      <w:r w:rsidR="00A216FF" w:rsidRPr="0075010E">
        <w:rPr>
          <w:rFonts w:ascii="Arial" w:hAnsi="Arial" w:cs="Arial"/>
          <w:sz w:val="24"/>
          <w:szCs w:val="24"/>
        </w:rPr>
        <w:t>change</w:t>
      </w:r>
      <w:r w:rsidR="00C81BEF" w:rsidRPr="0075010E">
        <w:rPr>
          <w:rFonts w:ascii="Arial" w:hAnsi="Arial" w:cs="Arial"/>
          <w:sz w:val="24"/>
          <w:szCs w:val="24"/>
        </w:rPr>
        <w:t>d</w:t>
      </w:r>
      <w:r w:rsidR="00A216FF" w:rsidRPr="0075010E">
        <w:rPr>
          <w:rFonts w:ascii="Arial" w:hAnsi="Arial" w:cs="Arial"/>
          <w:sz w:val="24"/>
          <w:szCs w:val="24"/>
        </w:rPr>
        <w:t xml:space="preserve"> </w:t>
      </w:r>
      <w:r w:rsidR="007A6820">
        <w:rPr>
          <w:rFonts w:ascii="Arial" w:hAnsi="Arial" w:cs="Arial"/>
          <w:sz w:val="24"/>
          <w:szCs w:val="24"/>
        </w:rPr>
        <w:t>in March 2015</w:t>
      </w:r>
      <w:r w:rsidR="00A216FF" w:rsidRPr="0075010E">
        <w:rPr>
          <w:rFonts w:ascii="Arial" w:hAnsi="Arial" w:cs="Arial"/>
          <w:sz w:val="24"/>
          <w:szCs w:val="24"/>
        </w:rPr>
        <w:t xml:space="preserve">. Gayle </w:t>
      </w:r>
      <w:proofErr w:type="spellStart"/>
      <w:r w:rsidR="00A216FF" w:rsidRPr="0075010E">
        <w:rPr>
          <w:rFonts w:ascii="Arial" w:hAnsi="Arial" w:cs="Arial"/>
          <w:sz w:val="24"/>
          <w:szCs w:val="24"/>
        </w:rPr>
        <w:t>Stocken</w:t>
      </w:r>
      <w:proofErr w:type="spellEnd"/>
      <w:r w:rsidR="004C387A" w:rsidRPr="0075010E">
        <w:rPr>
          <w:rFonts w:ascii="Arial" w:hAnsi="Arial" w:cs="Arial"/>
          <w:sz w:val="24"/>
          <w:szCs w:val="24"/>
        </w:rPr>
        <w:t xml:space="preserve">, Director of Student Support, </w:t>
      </w:r>
      <w:r w:rsidR="007A6820">
        <w:rPr>
          <w:rFonts w:ascii="Arial" w:hAnsi="Arial" w:cs="Arial"/>
          <w:sz w:val="24"/>
          <w:szCs w:val="24"/>
        </w:rPr>
        <w:t>left UEL and Carol Jones was acting Chair of the Panel for the remainder of the 2014/15 academic year. Carol Jones left UEL on 18</w:t>
      </w:r>
      <w:r w:rsidR="007A6820" w:rsidRPr="007A6820">
        <w:rPr>
          <w:rFonts w:ascii="Arial" w:hAnsi="Arial" w:cs="Arial"/>
          <w:sz w:val="24"/>
          <w:szCs w:val="24"/>
          <w:vertAlign w:val="superscript"/>
        </w:rPr>
        <w:t>th</w:t>
      </w:r>
      <w:r w:rsidR="00E50521">
        <w:rPr>
          <w:rFonts w:ascii="Arial" w:hAnsi="Arial" w:cs="Arial"/>
          <w:sz w:val="24"/>
          <w:szCs w:val="24"/>
        </w:rPr>
        <w:t xml:space="preserve"> September and</w:t>
      </w:r>
      <w:r w:rsidR="007A6820">
        <w:rPr>
          <w:rFonts w:ascii="Arial" w:hAnsi="Arial" w:cs="Arial"/>
          <w:sz w:val="24"/>
          <w:szCs w:val="24"/>
        </w:rPr>
        <w:t xml:space="preserve"> Nicole Redman</w:t>
      </w:r>
      <w:r w:rsidR="00E50521">
        <w:rPr>
          <w:rFonts w:ascii="Arial" w:hAnsi="Arial" w:cs="Arial"/>
          <w:sz w:val="24"/>
          <w:szCs w:val="24"/>
        </w:rPr>
        <w:t>,</w:t>
      </w:r>
      <w:r w:rsidR="00B8273B">
        <w:rPr>
          <w:rFonts w:ascii="Arial" w:hAnsi="Arial" w:cs="Arial"/>
          <w:sz w:val="24"/>
          <w:szCs w:val="24"/>
        </w:rPr>
        <w:t xml:space="preserve"> </w:t>
      </w:r>
      <w:r w:rsidR="007A6820">
        <w:rPr>
          <w:rFonts w:ascii="Arial" w:hAnsi="Arial" w:cs="Arial"/>
          <w:sz w:val="24"/>
          <w:szCs w:val="24"/>
        </w:rPr>
        <w:t>Director of Student Support</w:t>
      </w:r>
      <w:r w:rsidR="00E50521">
        <w:rPr>
          <w:rFonts w:ascii="Arial" w:hAnsi="Arial" w:cs="Arial"/>
          <w:sz w:val="24"/>
          <w:szCs w:val="24"/>
        </w:rPr>
        <w:t xml:space="preserve">, </w:t>
      </w:r>
      <w:r w:rsidR="007A6820">
        <w:rPr>
          <w:rFonts w:ascii="Arial" w:hAnsi="Arial" w:cs="Arial"/>
          <w:sz w:val="24"/>
          <w:szCs w:val="24"/>
        </w:rPr>
        <w:t>has been considering all late re-sit claims</w:t>
      </w:r>
      <w:r w:rsidR="009326A0">
        <w:rPr>
          <w:rFonts w:ascii="Arial" w:hAnsi="Arial" w:cs="Arial"/>
          <w:sz w:val="24"/>
          <w:szCs w:val="24"/>
        </w:rPr>
        <w:t>, PG Semester C claims</w:t>
      </w:r>
      <w:r w:rsidR="007A6820">
        <w:rPr>
          <w:rFonts w:ascii="Arial" w:hAnsi="Arial" w:cs="Arial"/>
          <w:sz w:val="24"/>
          <w:szCs w:val="24"/>
        </w:rPr>
        <w:t xml:space="preserve"> and all other Chair’s Actions since 2</w:t>
      </w:r>
      <w:r w:rsidR="007A6820" w:rsidRPr="007A6820">
        <w:rPr>
          <w:rFonts w:ascii="Arial" w:hAnsi="Arial" w:cs="Arial"/>
          <w:sz w:val="24"/>
          <w:szCs w:val="24"/>
          <w:vertAlign w:val="superscript"/>
        </w:rPr>
        <w:t>nd</w:t>
      </w:r>
      <w:r w:rsidR="00996A29">
        <w:rPr>
          <w:rFonts w:ascii="Arial" w:hAnsi="Arial" w:cs="Arial"/>
          <w:sz w:val="24"/>
          <w:szCs w:val="24"/>
        </w:rPr>
        <w:t xml:space="preserve"> September 2015.</w:t>
      </w:r>
      <w:r w:rsidR="00C862BD" w:rsidRPr="007A6820">
        <w:rPr>
          <w:rFonts w:ascii="Arial" w:hAnsi="Arial" w:cs="Arial"/>
          <w:sz w:val="24"/>
          <w:szCs w:val="24"/>
        </w:rPr>
        <w:br/>
      </w:r>
    </w:p>
    <w:p w:rsidR="007A6820" w:rsidRPr="007A6820" w:rsidRDefault="007A6820" w:rsidP="00E87F05">
      <w:pPr>
        <w:pStyle w:val="ListParagraph"/>
        <w:ind w:left="360"/>
        <w:rPr>
          <w:rFonts w:ascii="Arial" w:hAnsi="Arial" w:cs="Arial"/>
          <w:sz w:val="24"/>
          <w:szCs w:val="24"/>
        </w:rPr>
      </w:pPr>
    </w:p>
    <w:p w:rsidR="005112D6" w:rsidRPr="00A216FF" w:rsidRDefault="005112D6" w:rsidP="00E87F05">
      <w:pPr>
        <w:pStyle w:val="ListParagraph"/>
        <w:numPr>
          <w:ilvl w:val="0"/>
          <w:numId w:val="1"/>
        </w:numPr>
        <w:ind w:left="0" w:firstLine="0"/>
        <w:rPr>
          <w:rFonts w:ascii="Arial" w:hAnsi="Arial" w:cs="Arial"/>
          <w:b/>
          <w:sz w:val="24"/>
          <w:szCs w:val="24"/>
        </w:rPr>
      </w:pPr>
      <w:r w:rsidRPr="00A216FF">
        <w:rPr>
          <w:rFonts w:ascii="Arial" w:hAnsi="Arial" w:cs="Arial"/>
          <w:b/>
          <w:sz w:val="24"/>
          <w:szCs w:val="24"/>
        </w:rPr>
        <w:t>Summary of Claims</w:t>
      </w:r>
    </w:p>
    <w:p w:rsidR="005112D6" w:rsidRPr="00A216FF" w:rsidRDefault="005112D6" w:rsidP="00E87F05">
      <w:pPr>
        <w:pStyle w:val="ListParagraph"/>
        <w:ind w:left="0"/>
        <w:rPr>
          <w:rFonts w:ascii="Arial" w:hAnsi="Arial" w:cs="Arial"/>
          <w:sz w:val="24"/>
          <w:szCs w:val="24"/>
        </w:rPr>
      </w:pPr>
    </w:p>
    <w:p w:rsidR="00B8273B" w:rsidRDefault="005112D6" w:rsidP="00E87F05">
      <w:pPr>
        <w:pStyle w:val="ListParagraph"/>
        <w:ind w:left="709" w:hanging="709"/>
        <w:rPr>
          <w:rFonts w:ascii="Arial" w:hAnsi="Arial" w:cs="Arial"/>
          <w:sz w:val="24"/>
          <w:szCs w:val="24"/>
        </w:rPr>
      </w:pPr>
      <w:r w:rsidRPr="00A216FF">
        <w:rPr>
          <w:rFonts w:ascii="Arial" w:hAnsi="Arial" w:cs="Arial"/>
          <w:sz w:val="24"/>
          <w:szCs w:val="24"/>
        </w:rPr>
        <w:t xml:space="preserve">2.1 </w:t>
      </w:r>
      <w:r w:rsidR="0005126E" w:rsidRPr="00A216FF">
        <w:rPr>
          <w:rFonts w:ascii="Arial" w:hAnsi="Arial" w:cs="Arial"/>
          <w:sz w:val="24"/>
          <w:szCs w:val="24"/>
        </w:rPr>
        <w:tab/>
        <w:t xml:space="preserve">Students must make </w:t>
      </w:r>
      <w:r w:rsidR="00644F8E" w:rsidRPr="00A216FF">
        <w:rPr>
          <w:rFonts w:ascii="Arial" w:hAnsi="Arial" w:cs="Arial"/>
          <w:sz w:val="24"/>
          <w:szCs w:val="24"/>
        </w:rPr>
        <w:t>a separate claim</w:t>
      </w:r>
      <w:r w:rsidR="0005126E" w:rsidRPr="00A216FF">
        <w:rPr>
          <w:rFonts w:ascii="Arial" w:hAnsi="Arial" w:cs="Arial"/>
          <w:sz w:val="24"/>
          <w:szCs w:val="24"/>
        </w:rPr>
        <w:t xml:space="preserve"> for each component of assessment for which they</w:t>
      </w:r>
      <w:r w:rsidR="007C26BD" w:rsidRPr="00A216FF">
        <w:rPr>
          <w:rFonts w:ascii="Arial" w:hAnsi="Arial" w:cs="Arial"/>
          <w:sz w:val="24"/>
          <w:szCs w:val="24"/>
        </w:rPr>
        <w:t xml:space="preserve"> seek to have their extenuating circumstances considered.  Table 1 </w:t>
      </w:r>
      <w:r w:rsidR="008C1E7A">
        <w:rPr>
          <w:rFonts w:ascii="Arial" w:hAnsi="Arial" w:cs="Arial"/>
          <w:sz w:val="24"/>
          <w:szCs w:val="24"/>
        </w:rPr>
        <w:t>below</w:t>
      </w:r>
      <w:r w:rsidR="00180B7E" w:rsidRPr="00A216FF">
        <w:rPr>
          <w:rFonts w:ascii="Arial" w:hAnsi="Arial" w:cs="Arial"/>
          <w:sz w:val="24"/>
          <w:szCs w:val="24"/>
        </w:rPr>
        <w:t xml:space="preserve"> </w:t>
      </w:r>
      <w:r w:rsidR="007C26BD" w:rsidRPr="00A216FF">
        <w:rPr>
          <w:rFonts w:ascii="Arial" w:hAnsi="Arial" w:cs="Arial"/>
          <w:sz w:val="24"/>
          <w:szCs w:val="24"/>
        </w:rPr>
        <w:t xml:space="preserve">provides a short summary of extenuation claims </w:t>
      </w:r>
      <w:r w:rsidR="00E37AC1" w:rsidRPr="00A216FF">
        <w:rPr>
          <w:rFonts w:ascii="Arial" w:hAnsi="Arial" w:cs="Arial"/>
          <w:sz w:val="24"/>
          <w:szCs w:val="24"/>
        </w:rPr>
        <w:t xml:space="preserve">by component, </w:t>
      </w:r>
      <w:r w:rsidR="007C26BD" w:rsidRPr="00A216FF">
        <w:rPr>
          <w:rFonts w:ascii="Arial" w:hAnsi="Arial" w:cs="Arial"/>
          <w:sz w:val="24"/>
          <w:szCs w:val="24"/>
        </w:rPr>
        <w:t xml:space="preserve">received over </w:t>
      </w:r>
      <w:r w:rsidR="00E87F05">
        <w:rPr>
          <w:rFonts w:ascii="Arial" w:hAnsi="Arial" w:cs="Arial"/>
          <w:sz w:val="24"/>
          <w:szCs w:val="24"/>
        </w:rPr>
        <w:t>Terms’ 1 and 2</w:t>
      </w:r>
      <w:r w:rsidR="00E87F05" w:rsidRPr="00A216FF">
        <w:rPr>
          <w:rFonts w:ascii="Arial" w:hAnsi="Arial" w:cs="Arial"/>
          <w:sz w:val="24"/>
          <w:szCs w:val="24"/>
        </w:rPr>
        <w:t xml:space="preserve"> </w:t>
      </w:r>
      <w:r w:rsidR="00E87F05">
        <w:rPr>
          <w:rFonts w:ascii="Arial" w:hAnsi="Arial" w:cs="Arial"/>
          <w:sz w:val="24"/>
          <w:szCs w:val="24"/>
        </w:rPr>
        <w:t xml:space="preserve">and </w:t>
      </w:r>
      <w:r w:rsidR="007C26BD" w:rsidRPr="00A216FF">
        <w:rPr>
          <w:rFonts w:ascii="Arial" w:hAnsi="Arial" w:cs="Arial"/>
          <w:sz w:val="24"/>
          <w:szCs w:val="24"/>
        </w:rPr>
        <w:t>Semesters</w:t>
      </w:r>
      <w:r w:rsidR="00E87F05">
        <w:rPr>
          <w:rFonts w:ascii="Arial" w:hAnsi="Arial" w:cs="Arial"/>
          <w:sz w:val="24"/>
          <w:szCs w:val="24"/>
        </w:rPr>
        <w:t>’</w:t>
      </w:r>
      <w:r w:rsidR="009326A0">
        <w:rPr>
          <w:rFonts w:ascii="Arial" w:hAnsi="Arial" w:cs="Arial"/>
          <w:sz w:val="24"/>
          <w:szCs w:val="24"/>
        </w:rPr>
        <w:t xml:space="preserve"> A and</w:t>
      </w:r>
      <w:r w:rsidR="007C26BD" w:rsidRPr="00A216FF">
        <w:rPr>
          <w:rFonts w:ascii="Arial" w:hAnsi="Arial" w:cs="Arial"/>
          <w:sz w:val="24"/>
          <w:szCs w:val="24"/>
        </w:rPr>
        <w:t xml:space="preserve"> B</w:t>
      </w:r>
      <w:r w:rsidR="007A6820">
        <w:rPr>
          <w:rFonts w:ascii="Arial" w:hAnsi="Arial" w:cs="Arial"/>
          <w:sz w:val="24"/>
          <w:szCs w:val="24"/>
        </w:rPr>
        <w:t xml:space="preserve"> </w:t>
      </w:r>
      <w:r w:rsidR="007C26BD" w:rsidRPr="00A216FF">
        <w:rPr>
          <w:rFonts w:ascii="Arial" w:hAnsi="Arial" w:cs="Arial"/>
          <w:sz w:val="24"/>
          <w:szCs w:val="24"/>
        </w:rPr>
        <w:t xml:space="preserve">and the reassessment period </w:t>
      </w:r>
      <w:r w:rsidR="00AA6BAA" w:rsidRPr="00A216FF">
        <w:rPr>
          <w:rFonts w:ascii="Arial" w:hAnsi="Arial" w:cs="Arial"/>
          <w:sz w:val="24"/>
          <w:szCs w:val="24"/>
        </w:rPr>
        <w:t>in</w:t>
      </w:r>
      <w:r w:rsidR="00E37AC1" w:rsidRPr="00A216FF">
        <w:rPr>
          <w:rFonts w:ascii="Arial" w:hAnsi="Arial" w:cs="Arial"/>
          <w:sz w:val="24"/>
          <w:szCs w:val="24"/>
        </w:rPr>
        <w:t xml:space="preserve"> </w:t>
      </w:r>
      <w:r w:rsidR="007A6820">
        <w:rPr>
          <w:rFonts w:ascii="Arial" w:hAnsi="Arial" w:cs="Arial"/>
          <w:sz w:val="24"/>
          <w:szCs w:val="24"/>
        </w:rPr>
        <w:t>2014-15</w:t>
      </w:r>
      <w:r w:rsidR="007C26BD" w:rsidRPr="00A216FF">
        <w:rPr>
          <w:rFonts w:ascii="Arial" w:hAnsi="Arial" w:cs="Arial"/>
          <w:sz w:val="24"/>
          <w:szCs w:val="24"/>
        </w:rPr>
        <w:t>.</w:t>
      </w:r>
      <w:r w:rsidR="006739F1">
        <w:rPr>
          <w:rFonts w:ascii="Arial" w:hAnsi="Arial" w:cs="Arial"/>
          <w:sz w:val="24"/>
          <w:szCs w:val="24"/>
        </w:rPr>
        <w:t xml:space="preserve"> There were four component </w:t>
      </w:r>
      <w:r w:rsidR="00DB205F">
        <w:rPr>
          <w:rFonts w:ascii="Arial" w:hAnsi="Arial" w:cs="Arial"/>
          <w:sz w:val="24"/>
          <w:szCs w:val="24"/>
        </w:rPr>
        <w:t>claims that did not proceed to a P</w:t>
      </w:r>
      <w:r w:rsidR="006739F1">
        <w:rPr>
          <w:rFonts w:ascii="Arial" w:hAnsi="Arial" w:cs="Arial"/>
          <w:sz w:val="24"/>
          <w:szCs w:val="24"/>
        </w:rPr>
        <w:t>anel as the evidence submitted was returned as not genuine.</w:t>
      </w:r>
    </w:p>
    <w:tbl>
      <w:tblPr>
        <w:tblpPr w:leftFromText="180" w:rightFromText="180" w:vertAnchor="text" w:horzAnchor="margin" w:tblpY="427"/>
        <w:tblW w:w="9214" w:type="dxa"/>
        <w:tblLook w:val="04A0" w:firstRow="1" w:lastRow="0" w:firstColumn="1" w:lastColumn="0" w:noHBand="0" w:noVBand="1"/>
      </w:tblPr>
      <w:tblGrid>
        <w:gridCol w:w="1073"/>
        <w:gridCol w:w="266"/>
        <w:gridCol w:w="1080"/>
        <w:gridCol w:w="1020"/>
        <w:gridCol w:w="1020"/>
        <w:gridCol w:w="1020"/>
        <w:gridCol w:w="980"/>
        <w:gridCol w:w="820"/>
        <w:gridCol w:w="1000"/>
        <w:gridCol w:w="935"/>
      </w:tblGrid>
      <w:tr w:rsidR="00B8273B" w:rsidRPr="007E58E9" w:rsidTr="001226FD">
        <w:trPr>
          <w:trHeight w:val="300"/>
        </w:trPr>
        <w:tc>
          <w:tcPr>
            <w:tcW w:w="10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 </w:t>
            </w:r>
          </w:p>
        </w:tc>
        <w:tc>
          <w:tcPr>
            <w:tcW w:w="266" w:type="dxa"/>
            <w:tcBorders>
              <w:top w:val="single" w:sz="8" w:space="0" w:color="auto"/>
              <w:left w:val="nil"/>
              <w:bottom w:val="single" w:sz="8" w:space="0" w:color="auto"/>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 </w:t>
            </w:r>
          </w:p>
        </w:tc>
        <w:tc>
          <w:tcPr>
            <w:tcW w:w="1080" w:type="dxa"/>
            <w:tcBorders>
              <w:top w:val="single" w:sz="8" w:space="0" w:color="auto"/>
              <w:left w:val="nil"/>
              <w:bottom w:val="single" w:sz="8" w:space="0" w:color="auto"/>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ACE</w:t>
            </w:r>
          </w:p>
        </w:tc>
        <w:tc>
          <w:tcPr>
            <w:tcW w:w="1020" w:type="dxa"/>
            <w:tcBorders>
              <w:top w:val="single" w:sz="8" w:space="0" w:color="auto"/>
              <w:left w:val="nil"/>
              <w:bottom w:val="single" w:sz="8" w:space="0" w:color="auto"/>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ADI</w:t>
            </w:r>
          </w:p>
        </w:tc>
        <w:tc>
          <w:tcPr>
            <w:tcW w:w="1020" w:type="dxa"/>
            <w:tcBorders>
              <w:top w:val="single" w:sz="8" w:space="0" w:color="auto"/>
              <w:left w:val="nil"/>
              <w:bottom w:val="single" w:sz="8" w:space="0" w:color="auto"/>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Bus &amp; Law</w:t>
            </w:r>
          </w:p>
        </w:tc>
        <w:tc>
          <w:tcPr>
            <w:tcW w:w="1020" w:type="dxa"/>
            <w:tcBorders>
              <w:top w:val="single" w:sz="8" w:space="0" w:color="auto"/>
              <w:left w:val="nil"/>
              <w:bottom w:val="single" w:sz="8" w:space="0" w:color="auto"/>
              <w:right w:val="nil"/>
            </w:tcBorders>
            <w:shd w:val="clear" w:color="auto" w:fill="auto"/>
            <w:noWrap/>
            <w:vAlign w:val="center"/>
            <w:hideMark/>
          </w:tcPr>
          <w:p w:rsidR="00B8273B" w:rsidRPr="007E58E9" w:rsidRDefault="006739F1" w:rsidP="001226F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Cass</w:t>
            </w:r>
          </w:p>
        </w:tc>
        <w:tc>
          <w:tcPr>
            <w:tcW w:w="980" w:type="dxa"/>
            <w:tcBorders>
              <w:top w:val="single" w:sz="8" w:space="0" w:color="auto"/>
              <w:left w:val="nil"/>
              <w:bottom w:val="single" w:sz="8" w:space="0" w:color="auto"/>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HSB</w:t>
            </w:r>
          </w:p>
        </w:tc>
        <w:tc>
          <w:tcPr>
            <w:tcW w:w="820" w:type="dxa"/>
            <w:tcBorders>
              <w:top w:val="single" w:sz="8" w:space="0" w:color="auto"/>
              <w:left w:val="nil"/>
              <w:bottom w:val="single" w:sz="8" w:space="0" w:color="auto"/>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PSY</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proofErr w:type="spellStart"/>
            <w:r w:rsidRPr="007E58E9">
              <w:rPr>
                <w:rFonts w:ascii="Calibri" w:eastAsia="Times New Roman" w:hAnsi="Calibri" w:cs="Times New Roman"/>
                <w:b/>
                <w:bCs/>
                <w:color w:val="000000"/>
                <w:lang w:eastAsia="en-GB"/>
              </w:rPr>
              <w:t>Soc</w:t>
            </w:r>
            <w:proofErr w:type="spellEnd"/>
            <w:r w:rsidRPr="007E58E9">
              <w:rPr>
                <w:rFonts w:ascii="Calibri" w:eastAsia="Times New Roman" w:hAnsi="Calibri" w:cs="Times New Roman"/>
                <w:b/>
                <w:bCs/>
                <w:color w:val="000000"/>
                <w:lang w:eastAsia="en-GB"/>
              </w:rPr>
              <w:t xml:space="preserve"> </w:t>
            </w:r>
            <w:proofErr w:type="spellStart"/>
            <w:r w:rsidRPr="007E58E9">
              <w:rPr>
                <w:rFonts w:ascii="Calibri" w:eastAsia="Times New Roman" w:hAnsi="Calibri" w:cs="Times New Roman"/>
                <w:b/>
                <w:bCs/>
                <w:color w:val="000000"/>
                <w:lang w:eastAsia="en-GB"/>
              </w:rPr>
              <w:t>Sci</w:t>
            </w:r>
            <w:proofErr w:type="spellEnd"/>
          </w:p>
        </w:tc>
        <w:tc>
          <w:tcPr>
            <w:tcW w:w="93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Total</w:t>
            </w:r>
          </w:p>
        </w:tc>
      </w:tr>
      <w:tr w:rsidR="00B8273B" w:rsidRPr="007E58E9" w:rsidTr="001226FD">
        <w:trPr>
          <w:trHeight w:val="290"/>
        </w:trPr>
        <w:tc>
          <w:tcPr>
            <w:tcW w:w="1073" w:type="dxa"/>
            <w:tcBorders>
              <w:top w:val="nil"/>
              <w:left w:val="single" w:sz="8" w:space="0" w:color="auto"/>
              <w:bottom w:val="nil"/>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Term 1/</w:t>
            </w:r>
            <w:proofErr w:type="spellStart"/>
            <w:r w:rsidRPr="007E58E9">
              <w:rPr>
                <w:rFonts w:ascii="Calibri" w:eastAsia="Times New Roman" w:hAnsi="Calibri" w:cs="Times New Roman"/>
                <w:b/>
                <w:bCs/>
                <w:color w:val="000000"/>
                <w:lang w:eastAsia="en-GB"/>
              </w:rPr>
              <w:t>Sem</w:t>
            </w:r>
            <w:proofErr w:type="spellEnd"/>
            <w:r w:rsidRPr="007E58E9">
              <w:rPr>
                <w:rFonts w:ascii="Calibri" w:eastAsia="Times New Roman" w:hAnsi="Calibri" w:cs="Times New Roman"/>
                <w:b/>
                <w:bCs/>
                <w:color w:val="000000"/>
                <w:lang w:eastAsia="en-GB"/>
              </w:rPr>
              <w:t xml:space="preserve"> A</w:t>
            </w:r>
          </w:p>
        </w:tc>
        <w:tc>
          <w:tcPr>
            <w:tcW w:w="266" w:type="dxa"/>
            <w:tcBorders>
              <w:top w:val="nil"/>
              <w:left w:val="nil"/>
              <w:bottom w:val="nil"/>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 </w:t>
            </w:r>
          </w:p>
        </w:tc>
        <w:tc>
          <w:tcPr>
            <w:tcW w:w="1080" w:type="dxa"/>
            <w:tcBorders>
              <w:top w:val="nil"/>
              <w:left w:val="nil"/>
              <w:bottom w:val="nil"/>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39</w:t>
            </w:r>
          </w:p>
        </w:tc>
        <w:tc>
          <w:tcPr>
            <w:tcW w:w="1020" w:type="dxa"/>
            <w:tcBorders>
              <w:top w:val="nil"/>
              <w:left w:val="nil"/>
              <w:bottom w:val="nil"/>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26</w:t>
            </w:r>
          </w:p>
        </w:tc>
        <w:tc>
          <w:tcPr>
            <w:tcW w:w="1020" w:type="dxa"/>
            <w:tcBorders>
              <w:top w:val="nil"/>
              <w:left w:val="nil"/>
              <w:bottom w:val="nil"/>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89</w:t>
            </w:r>
          </w:p>
        </w:tc>
        <w:tc>
          <w:tcPr>
            <w:tcW w:w="1020" w:type="dxa"/>
            <w:tcBorders>
              <w:top w:val="nil"/>
              <w:left w:val="nil"/>
              <w:bottom w:val="nil"/>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56</w:t>
            </w:r>
          </w:p>
        </w:tc>
        <w:tc>
          <w:tcPr>
            <w:tcW w:w="980" w:type="dxa"/>
            <w:tcBorders>
              <w:top w:val="nil"/>
              <w:left w:val="nil"/>
              <w:bottom w:val="nil"/>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94</w:t>
            </w:r>
          </w:p>
        </w:tc>
        <w:tc>
          <w:tcPr>
            <w:tcW w:w="820" w:type="dxa"/>
            <w:tcBorders>
              <w:top w:val="nil"/>
              <w:left w:val="nil"/>
              <w:bottom w:val="nil"/>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75</w:t>
            </w:r>
          </w:p>
        </w:tc>
        <w:tc>
          <w:tcPr>
            <w:tcW w:w="1000" w:type="dxa"/>
            <w:tcBorders>
              <w:top w:val="nil"/>
              <w:left w:val="nil"/>
              <w:bottom w:val="nil"/>
              <w:right w:val="single" w:sz="4"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52</w:t>
            </w:r>
          </w:p>
        </w:tc>
        <w:tc>
          <w:tcPr>
            <w:tcW w:w="935" w:type="dxa"/>
            <w:tcBorders>
              <w:top w:val="nil"/>
              <w:left w:val="single" w:sz="4" w:space="0" w:color="auto"/>
              <w:bottom w:val="nil"/>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431</w:t>
            </w:r>
          </w:p>
        </w:tc>
      </w:tr>
      <w:tr w:rsidR="00B8273B" w:rsidRPr="007E58E9" w:rsidTr="001226FD">
        <w:trPr>
          <w:trHeight w:val="290"/>
        </w:trPr>
        <w:tc>
          <w:tcPr>
            <w:tcW w:w="1073" w:type="dxa"/>
            <w:tcBorders>
              <w:top w:val="nil"/>
              <w:left w:val="single" w:sz="8"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Accept</w:t>
            </w:r>
          </w:p>
        </w:tc>
        <w:tc>
          <w:tcPr>
            <w:tcW w:w="266"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15</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14</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50</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22</w:t>
            </w:r>
          </w:p>
        </w:tc>
        <w:tc>
          <w:tcPr>
            <w:tcW w:w="9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46</w:t>
            </w:r>
          </w:p>
        </w:tc>
        <w:tc>
          <w:tcPr>
            <w:tcW w:w="8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44</w:t>
            </w:r>
          </w:p>
        </w:tc>
        <w:tc>
          <w:tcPr>
            <w:tcW w:w="1000" w:type="dxa"/>
            <w:tcBorders>
              <w:top w:val="nil"/>
              <w:left w:val="nil"/>
              <w:bottom w:val="nil"/>
              <w:right w:val="single" w:sz="4"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30</w:t>
            </w:r>
          </w:p>
        </w:tc>
        <w:tc>
          <w:tcPr>
            <w:tcW w:w="935" w:type="dxa"/>
            <w:tcBorders>
              <w:top w:val="nil"/>
              <w:left w:val="single" w:sz="4"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221</w:t>
            </w:r>
          </w:p>
        </w:tc>
      </w:tr>
      <w:tr w:rsidR="00B8273B" w:rsidRPr="007E58E9" w:rsidTr="001226FD">
        <w:trPr>
          <w:trHeight w:val="300"/>
        </w:trPr>
        <w:tc>
          <w:tcPr>
            <w:tcW w:w="1073" w:type="dxa"/>
            <w:tcBorders>
              <w:top w:val="nil"/>
              <w:left w:val="single" w:sz="8"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Reject</w:t>
            </w:r>
          </w:p>
        </w:tc>
        <w:tc>
          <w:tcPr>
            <w:tcW w:w="266"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24</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12</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39</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34</w:t>
            </w:r>
          </w:p>
        </w:tc>
        <w:tc>
          <w:tcPr>
            <w:tcW w:w="9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48</w:t>
            </w:r>
          </w:p>
        </w:tc>
        <w:tc>
          <w:tcPr>
            <w:tcW w:w="8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31</w:t>
            </w:r>
          </w:p>
        </w:tc>
        <w:tc>
          <w:tcPr>
            <w:tcW w:w="1000" w:type="dxa"/>
            <w:tcBorders>
              <w:top w:val="nil"/>
              <w:left w:val="nil"/>
              <w:bottom w:val="nil"/>
              <w:right w:val="single" w:sz="4"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22</w:t>
            </w:r>
          </w:p>
        </w:tc>
        <w:tc>
          <w:tcPr>
            <w:tcW w:w="935" w:type="dxa"/>
            <w:tcBorders>
              <w:top w:val="nil"/>
              <w:left w:val="single" w:sz="4"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210</w:t>
            </w:r>
          </w:p>
        </w:tc>
      </w:tr>
      <w:tr w:rsidR="00B8273B" w:rsidRPr="007E58E9" w:rsidTr="001226FD">
        <w:trPr>
          <w:trHeight w:val="300"/>
        </w:trPr>
        <w:tc>
          <w:tcPr>
            <w:tcW w:w="107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Term 2/</w:t>
            </w:r>
            <w:proofErr w:type="spellStart"/>
            <w:r w:rsidRPr="007E58E9">
              <w:rPr>
                <w:rFonts w:ascii="Calibri" w:eastAsia="Times New Roman" w:hAnsi="Calibri" w:cs="Times New Roman"/>
                <w:b/>
                <w:bCs/>
                <w:color w:val="000000"/>
                <w:lang w:eastAsia="en-GB"/>
              </w:rPr>
              <w:t>Sem</w:t>
            </w:r>
            <w:proofErr w:type="spellEnd"/>
            <w:r w:rsidRPr="007E58E9">
              <w:rPr>
                <w:rFonts w:ascii="Calibri" w:eastAsia="Times New Roman" w:hAnsi="Calibri" w:cs="Times New Roman"/>
                <w:b/>
                <w:bCs/>
                <w:color w:val="000000"/>
                <w:lang w:eastAsia="en-GB"/>
              </w:rPr>
              <w:t xml:space="preserve"> B</w:t>
            </w:r>
          </w:p>
        </w:tc>
        <w:tc>
          <w:tcPr>
            <w:tcW w:w="266"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 </w:t>
            </w:r>
          </w:p>
        </w:tc>
        <w:tc>
          <w:tcPr>
            <w:tcW w:w="108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64</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150</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201</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139</w:t>
            </w:r>
          </w:p>
        </w:tc>
        <w:tc>
          <w:tcPr>
            <w:tcW w:w="98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283</w:t>
            </w:r>
          </w:p>
        </w:tc>
        <w:tc>
          <w:tcPr>
            <w:tcW w:w="8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158</w:t>
            </w:r>
          </w:p>
        </w:tc>
        <w:tc>
          <w:tcPr>
            <w:tcW w:w="1000" w:type="dxa"/>
            <w:tcBorders>
              <w:top w:val="single" w:sz="8" w:space="0" w:color="auto"/>
              <w:left w:val="nil"/>
              <w:bottom w:val="single" w:sz="8" w:space="0" w:color="auto"/>
              <w:right w:val="single" w:sz="4"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98</w:t>
            </w:r>
          </w:p>
        </w:tc>
        <w:tc>
          <w:tcPr>
            <w:tcW w:w="935" w:type="dxa"/>
            <w:tcBorders>
              <w:top w:val="single" w:sz="8" w:space="0" w:color="auto"/>
              <w:left w:val="single" w:sz="4" w:space="0" w:color="auto"/>
              <w:bottom w:val="single" w:sz="8" w:space="0" w:color="auto"/>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1093</w:t>
            </w:r>
          </w:p>
        </w:tc>
      </w:tr>
      <w:tr w:rsidR="00B8273B" w:rsidRPr="007E58E9" w:rsidTr="001226FD">
        <w:trPr>
          <w:trHeight w:val="290"/>
        </w:trPr>
        <w:tc>
          <w:tcPr>
            <w:tcW w:w="1073" w:type="dxa"/>
            <w:tcBorders>
              <w:top w:val="nil"/>
              <w:left w:val="single" w:sz="8"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Accept</w:t>
            </w:r>
          </w:p>
        </w:tc>
        <w:tc>
          <w:tcPr>
            <w:tcW w:w="266"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38</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80</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137</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85</w:t>
            </w:r>
          </w:p>
        </w:tc>
        <w:tc>
          <w:tcPr>
            <w:tcW w:w="9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172</w:t>
            </w:r>
          </w:p>
        </w:tc>
        <w:tc>
          <w:tcPr>
            <w:tcW w:w="8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112</w:t>
            </w:r>
          </w:p>
        </w:tc>
        <w:tc>
          <w:tcPr>
            <w:tcW w:w="1000" w:type="dxa"/>
            <w:tcBorders>
              <w:top w:val="nil"/>
              <w:left w:val="nil"/>
              <w:bottom w:val="nil"/>
              <w:right w:val="single" w:sz="4"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79</w:t>
            </w:r>
          </w:p>
        </w:tc>
        <w:tc>
          <w:tcPr>
            <w:tcW w:w="935" w:type="dxa"/>
            <w:tcBorders>
              <w:top w:val="nil"/>
              <w:left w:val="single" w:sz="4"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703</w:t>
            </w:r>
          </w:p>
        </w:tc>
      </w:tr>
      <w:tr w:rsidR="00B8273B" w:rsidRPr="007E58E9" w:rsidTr="001226FD">
        <w:trPr>
          <w:trHeight w:val="300"/>
        </w:trPr>
        <w:tc>
          <w:tcPr>
            <w:tcW w:w="1073" w:type="dxa"/>
            <w:tcBorders>
              <w:top w:val="nil"/>
              <w:left w:val="single" w:sz="8"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Reject</w:t>
            </w:r>
          </w:p>
        </w:tc>
        <w:tc>
          <w:tcPr>
            <w:tcW w:w="266"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26</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70</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64</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54</w:t>
            </w:r>
          </w:p>
        </w:tc>
        <w:tc>
          <w:tcPr>
            <w:tcW w:w="9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111</w:t>
            </w:r>
          </w:p>
        </w:tc>
        <w:tc>
          <w:tcPr>
            <w:tcW w:w="8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46</w:t>
            </w:r>
          </w:p>
        </w:tc>
        <w:tc>
          <w:tcPr>
            <w:tcW w:w="1000" w:type="dxa"/>
            <w:tcBorders>
              <w:top w:val="nil"/>
              <w:left w:val="nil"/>
              <w:bottom w:val="nil"/>
              <w:right w:val="single" w:sz="4"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19</w:t>
            </w:r>
          </w:p>
        </w:tc>
        <w:tc>
          <w:tcPr>
            <w:tcW w:w="935" w:type="dxa"/>
            <w:tcBorders>
              <w:top w:val="nil"/>
              <w:left w:val="single" w:sz="4"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390</w:t>
            </w:r>
          </w:p>
        </w:tc>
      </w:tr>
      <w:tr w:rsidR="00B8273B" w:rsidRPr="007E58E9" w:rsidTr="001226FD">
        <w:trPr>
          <w:trHeight w:val="300"/>
        </w:trPr>
        <w:tc>
          <w:tcPr>
            <w:tcW w:w="107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Resit</w:t>
            </w:r>
          </w:p>
        </w:tc>
        <w:tc>
          <w:tcPr>
            <w:tcW w:w="266"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 </w:t>
            </w:r>
          </w:p>
        </w:tc>
        <w:tc>
          <w:tcPr>
            <w:tcW w:w="108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16</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25</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39</w:t>
            </w:r>
          </w:p>
        </w:tc>
        <w:tc>
          <w:tcPr>
            <w:tcW w:w="98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21</w:t>
            </w:r>
          </w:p>
        </w:tc>
        <w:tc>
          <w:tcPr>
            <w:tcW w:w="8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31</w:t>
            </w:r>
          </w:p>
        </w:tc>
        <w:tc>
          <w:tcPr>
            <w:tcW w:w="1000" w:type="dxa"/>
            <w:tcBorders>
              <w:top w:val="single" w:sz="8" w:space="0" w:color="auto"/>
              <w:left w:val="nil"/>
              <w:bottom w:val="single" w:sz="8" w:space="0" w:color="auto"/>
              <w:right w:val="single" w:sz="4"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16</w:t>
            </w:r>
          </w:p>
        </w:tc>
        <w:tc>
          <w:tcPr>
            <w:tcW w:w="935" w:type="dxa"/>
            <w:tcBorders>
              <w:top w:val="single" w:sz="8" w:space="0" w:color="auto"/>
              <w:left w:val="single" w:sz="4" w:space="0" w:color="auto"/>
              <w:bottom w:val="single" w:sz="8" w:space="0" w:color="auto"/>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150</w:t>
            </w:r>
          </w:p>
        </w:tc>
      </w:tr>
      <w:tr w:rsidR="00B8273B" w:rsidRPr="007E58E9" w:rsidTr="001226FD">
        <w:trPr>
          <w:trHeight w:val="290"/>
        </w:trPr>
        <w:tc>
          <w:tcPr>
            <w:tcW w:w="1073" w:type="dxa"/>
            <w:tcBorders>
              <w:top w:val="nil"/>
              <w:left w:val="single" w:sz="8"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Accept</w:t>
            </w:r>
          </w:p>
        </w:tc>
        <w:tc>
          <w:tcPr>
            <w:tcW w:w="266"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12</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9</w:t>
            </w:r>
          </w:p>
        </w:tc>
        <w:tc>
          <w:tcPr>
            <w:tcW w:w="9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w:t>
            </w:r>
          </w:p>
        </w:tc>
        <w:tc>
          <w:tcPr>
            <w:tcW w:w="8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6</w:t>
            </w:r>
          </w:p>
        </w:tc>
        <w:tc>
          <w:tcPr>
            <w:tcW w:w="1000" w:type="dxa"/>
            <w:tcBorders>
              <w:top w:val="nil"/>
              <w:left w:val="nil"/>
              <w:bottom w:val="nil"/>
              <w:right w:val="single" w:sz="4"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8</w:t>
            </w:r>
          </w:p>
        </w:tc>
        <w:tc>
          <w:tcPr>
            <w:tcW w:w="935" w:type="dxa"/>
            <w:tcBorders>
              <w:top w:val="nil"/>
              <w:left w:val="single" w:sz="4"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42</w:t>
            </w:r>
          </w:p>
        </w:tc>
      </w:tr>
      <w:tr w:rsidR="00B8273B" w:rsidRPr="007E58E9" w:rsidTr="001226FD">
        <w:trPr>
          <w:trHeight w:val="300"/>
        </w:trPr>
        <w:tc>
          <w:tcPr>
            <w:tcW w:w="1073" w:type="dxa"/>
            <w:tcBorders>
              <w:top w:val="nil"/>
              <w:left w:val="single" w:sz="8"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Reject</w:t>
            </w:r>
          </w:p>
        </w:tc>
        <w:tc>
          <w:tcPr>
            <w:tcW w:w="266"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13</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13</w:t>
            </w:r>
          </w:p>
        </w:tc>
        <w:tc>
          <w:tcPr>
            <w:tcW w:w="10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30</w:t>
            </w:r>
          </w:p>
        </w:tc>
        <w:tc>
          <w:tcPr>
            <w:tcW w:w="98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18</w:t>
            </w:r>
          </w:p>
        </w:tc>
        <w:tc>
          <w:tcPr>
            <w:tcW w:w="820" w:type="dxa"/>
            <w:tcBorders>
              <w:top w:val="nil"/>
              <w:left w:val="nil"/>
              <w:bottom w:val="nil"/>
              <w:right w:val="nil"/>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25</w:t>
            </w:r>
          </w:p>
        </w:tc>
        <w:tc>
          <w:tcPr>
            <w:tcW w:w="1000" w:type="dxa"/>
            <w:tcBorders>
              <w:top w:val="nil"/>
              <w:left w:val="nil"/>
              <w:bottom w:val="nil"/>
              <w:right w:val="single" w:sz="4"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8</w:t>
            </w:r>
          </w:p>
        </w:tc>
        <w:tc>
          <w:tcPr>
            <w:tcW w:w="935" w:type="dxa"/>
            <w:tcBorders>
              <w:top w:val="nil"/>
              <w:left w:val="single" w:sz="4" w:space="0" w:color="auto"/>
              <w:bottom w:val="nil"/>
              <w:right w:val="single" w:sz="8" w:space="0" w:color="auto"/>
            </w:tcBorders>
            <w:shd w:val="clear" w:color="auto" w:fill="auto"/>
            <w:noWrap/>
            <w:vAlign w:val="center"/>
            <w:hideMark/>
          </w:tcPr>
          <w:p w:rsidR="00B8273B" w:rsidRPr="007E58E9" w:rsidRDefault="00B8273B" w:rsidP="001226FD">
            <w:pPr>
              <w:spacing w:after="0" w:line="240" w:lineRule="auto"/>
              <w:jc w:val="center"/>
              <w:rPr>
                <w:rFonts w:ascii="Calibri" w:eastAsia="Times New Roman" w:hAnsi="Calibri" w:cs="Times New Roman"/>
                <w:color w:val="000000"/>
                <w:lang w:eastAsia="en-GB"/>
              </w:rPr>
            </w:pPr>
            <w:r w:rsidRPr="007E58E9">
              <w:rPr>
                <w:rFonts w:ascii="Calibri" w:eastAsia="Times New Roman" w:hAnsi="Calibri" w:cs="Times New Roman"/>
                <w:color w:val="000000"/>
                <w:lang w:eastAsia="en-GB"/>
              </w:rPr>
              <w:t>108</w:t>
            </w:r>
          </w:p>
        </w:tc>
      </w:tr>
      <w:tr w:rsidR="00B8273B" w:rsidRPr="007E58E9" w:rsidTr="001226FD">
        <w:trPr>
          <w:trHeight w:val="300"/>
        </w:trPr>
        <w:tc>
          <w:tcPr>
            <w:tcW w:w="107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Total</w:t>
            </w:r>
          </w:p>
        </w:tc>
        <w:tc>
          <w:tcPr>
            <w:tcW w:w="266"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 </w:t>
            </w:r>
          </w:p>
        </w:tc>
        <w:tc>
          <w:tcPr>
            <w:tcW w:w="108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105</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192</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315</w:t>
            </w:r>
          </w:p>
        </w:tc>
        <w:tc>
          <w:tcPr>
            <w:tcW w:w="10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234</w:t>
            </w:r>
          </w:p>
        </w:tc>
        <w:tc>
          <w:tcPr>
            <w:tcW w:w="98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398</w:t>
            </w:r>
          </w:p>
        </w:tc>
        <w:tc>
          <w:tcPr>
            <w:tcW w:w="820" w:type="dxa"/>
            <w:tcBorders>
              <w:top w:val="single" w:sz="8" w:space="0" w:color="auto"/>
              <w:left w:val="nil"/>
              <w:bottom w:val="single" w:sz="8" w:space="0" w:color="auto"/>
              <w:right w:val="nil"/>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264</w:t>
            </w:r>
          </w:p>
        </w:tc>
        <w:tc>
          <w:tcPr>
            <w:tcW w:w="1000" w:type="dxa"/>
            <w:tcBorders>
              <w:top w:val="single" w:sz="8" w:space="0" w:color="auto"/>
              <w:left w:val="nil"/>
              <w:bottom w:val="single" w:sz="8" w:space="0" w:color="auto"/>
              <w:right w:val="single" w:sz="4"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166</w:t>
            </w:r>
          </w:p>
        </w:tc>
        <w:tc>
          <w:tcPr>
            <w:tcW w:w="935" w:type="dxa"/>
            <w:tcBorders>
              <w:top w:val="single" w:sz="8" w:space="0" w:color="auto"/>
              <w:left w:val="single" w:sz="4" w:space="0" w:color="auto"/>
              <w:bottom w:val="single" w:sz="8" w:space="0" w:color="auto"/>
              <w:right w:val="single" w:sz="8" w:space="0" w:color="auto"/>
            </w:tcBorders>
            <w:shd w:val="clear" w:color="000000" w:fill="C5D9F1"/>
            <w:noWrap/>
            <w:vAlign w:val="center"/>
            <w:hideMark/>
          </w:tcPr>
          <w:p w:rsidR="00B8273B" w:rsidRPr="007E58E9" w:rsidRDefault="00B8273B" w:rsidP="001226FD">
            <w:pPr>
              <w:spacing w:after="0" w:line="240" w:lineRule="auto"/>
              <w:jc w:val="center"/>
              <w:rPr>
                <w:rFonts w:ascii="Calibri" w:eastAsia="Times New Roman" w:hAnsi="Calibri" w:cs="Times New Roman"/>
                <w:b/>
                <w:bCs/>
                <w:color w:val="000000"/>
                <w:lang w:eastAsia="en-GB"/>
              </w:rPr>
            </w:pPr>
            <w:r w:rsidRPr="007E58E9">
              <w:rPr>
                <w:rFonts w:ascii="Calibri" w:eastAsia="Times New Roman" w:hAnsi="Calibri" w:cs="Times New Roman"/>
                <w:b/>
                <w:bCs/>
                <w:color w:val="000000"/>
                <w:lang w:eastAsia="en-GB"/>
              </w:rPr>
              <w:t>1674</w:t>
            </w:r>
            <w:r w:rsidR="00E92838">
              <w:rPr>
                <w:rFonts w:ascii="Calibri" w:eastAsia="Times New Roman" w:hAnsi="Calibri" w:cs="Times New Roman"/>
                <w:b/>
                <w:bCs/>
                <w:color w:val="000000"/>
                <w:lang w:eastAsia="en-GB"/>
              </w:rPr>
              <w:t>*</w:t>
            </w:r>
          </w:p>
        </w:tc>
      </w:tr>
    </w:tbl>
    <w:p w:rsidR="00B8273B" w:rsidRDefault="00B8273B" w:rsidP="00E87F05">
      <w:pPr>
        <w:pStyle w:val="ListParagraph"/>
        <w:spacing w:after="0"/>
        <w:ind w:left="709"/>
        <w:rPr>
          <w:rFonts w:ascii="Arial" w:hAnsi="Arial" w:cs="Arial"/>
          <w:sz w:val="24"/>
          <w:szCs w:val="24"/>
        </w:rPr>
      </w:pPr>
    </w:p>
    <w:p w:rsidR="00E92838" w:rsidRDefault="00E92838" w:rsidP="00E87F05">
      <w:pPr>
        <w:pStyle w:val="ListParagraph"/>
        <w:spacing w:after="0"/>
        <w:ind w:left="709"/>
        <w:rPr>
          <w:rFonts w:ascii="Arial" w:hAnsi="Arial" w:cs="Arial"/>
          <w:sz w:val="24"/>
          <w:szCs w:val="24"/>
        </w:rPr>
      </w:pPr>
    </w:p>
    <w:p w:rsidR="00E92838" w:rsidRDefault="00E92838" w:rsidP="00E92838">
      <w:pPr>
        <w:pStyle w:val="ListParagraph"/>
        <w:spacing w:after="0"/>
        <w:ind w:left="1069"/>
        <w:rPr>
          <w:rFonts w:ascii="Arial" w:hAnsi="Arial" w:cs="Arial"/>
          <w:b/>
          <w:sz w:val="24"/>
          <w:szCs w:val="24"/>
        </w:rPr>
      </w:pPr>
      <w:r>
        <w:rPr>
          <w:rFonts w:ascii="Arial" w:hAnsi="Arial" w:cs="Arial"/>
          <w:sz w:val="24"/>
          <w:szCs w:val="24"/>
        </w:rPr>
        <w:t>*This figure does not include the four component claims that did not proceed to panel because the evidence that students submitted was returned as not being genuine.</w:t>
      </w:r>
    </w:p>
    <w:p w:rsidR="00B8273B" w:rsidRDefault="00B8273B" w:rsidP="00E87F05">
      <w:pPr>
        <w:pStyle w:val="ListParagraph"/>
        <w:spacing w:after="0"/>
        <w:ind w:left="709"/>
        <w:rPr>
          <w:rFonts w:ascii="Arial" w:hAnsi="Arial" w:cs="Arial"/>
          <w:b/>
          <w:sz w:val="24"/>
          <w:szCs w:val="24"/>
        </w:rPr>
      </w:pPr>
    </w:p>
    <w:p w:rsidR="00265C00" w:rsidRDefault="00265C00" w:rsidP="00E87F05">
      <w:pPr>
        <w:pStyle w:val="ListParagraph"/>
        <w:spacing w:after="0"/>
        <w:ind w:left="709"/>
        <w:rPr>
          <w:rFonts w:ascii="Arial" w:hAnsi="Arial" w:cs="Arial"/>
          <w:b/>
          <w:sz w:val="24"/>
          <w:szCs w:val="24"/>
        </w:rPr>
      </w:pPr>
      <w:r w:rsidRPr="00A216FF">
        <w:rPr>
          <w:rFonts w:ascii="Arial" w:hAnsi="Arial" w:cs="Arial"/>
          <w:b/>
          <w:sz w:val="24"/>
          <w:szCs w:val="24"/>
        </w:rPr>
        <w:t xml:space="preserve">Table 1: Number of component claims by school </w:t>
      </w:r>
      <w:r w:rsidR="007B1E0C">
        <w:rPr>
          <w:rFonts w:ascii="Arial" w:hAnsi="Arial" w:cs="Arial"/>
          <w:b/>
          <w:sz w:val="24"/>
          <w:szCs w:val="24"/>
        </w:rPr>
        <w:t xml:space="preserve">and semester </w:t>
      </w:r>
      <w:r w:rsidR="007A6820">
        <w:rPr>
          <w:rFonts w:ascii="Arial" w:hAnsi="Arial" w:cs="Arial"/>
          <w:b/>
          <w:sz w:val="24"/>
          <w:szCs w:val="24"/>
        </w:rPr>
        <w:t>2014-15</w:t>
      </w:r>
      <w:r w:rsidRPr="00A216FF">
        <w:rPr>
          <w:rFonts w:ascii="Arial" w:hAnsi="Arial" w:cs="Arial"/>
          <w:b/>
          <w:sz w:val="24"/>
          <w:szCs w:val="24"/>
        </w:rPr>
        <w:t xml:space="preserve"> </w:t>
      </w:r>
    </w:p>
    <w:p w:rsidR="007C26BD" w:rsidRDefault="007C26BD" w:rsidP="00E87F05">
      <w:pPr>
        <w:pStyle w:val="ListParagraph"/>
        <w:ind w:left="709"/>
        <w:rPr>
          <w:rFonts w:ascii="Arial" w:hAnsi="Arial" w:cs="Arial"/>
          <w:b/>
          <w:sz w:val="24"/>
          <w:szCs w:val="24"/>
        </w:rPr>
      </w:pPr>
    </w:p>
    <w:p w:rsidR="00B8273B" w:rsidRPr="00A216FF" w:rsidRDefault="00B8273B" w:rsidP="00E87F05">
      <w:pPr>
        <w:pStyle w:val="ListParagraph"/>
        <w:ind w:left="709"/>
        <w:rPr>
          <w:rFonts w:ascii="Arial" w:hAnsi="Arial" w:cs="Arial"/>
          <w:sz w:val="24"/>
          <w:szCs w:val="24"/>
        </w:rPr>
      </w:pPr>
    </w:p>
    <w:p w:rsidR="00747F3B" w:rsidRPr="00A216FF" w:rsidRDefault="00F707DC" w:rsidP="00E87F05">
      <w:pPr>
        <w:pStyle w:val="ListParagraph"/>
        <w:ind w:left="709" w:hanging="709"/>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747F3B" w:rsidRPr="00A216FF">
        <w:rPr>
          <w:rFonts w:ascii="Arial" w:hAnsi="Arial" w:cs="Arial"/>
          <w:sz w:val="24"/>
          <w:szCs w:val="24"/>
        </w:rPr>
        <w:t xml:space="preserve">The number of claims rose sharply in 2009/10 but has since reduced steadily. The number of claims in </w:t>
      </w:r>
      <w:r w:rsidR="007A6820">
        <w:rPr>
          <w:rFonts w:ascii="Arial" w:hAnsi="Arial" w:cs="Arial"/>
          <w:sz w:val="24"/>
          <w:szCs w:val="24"/>
        </w:rPr>
        <w:t>2014/15</w:t>
      </w:r>
      <w:r w:rsidR="00747F3B" w:rsidRPr="00A216FF">
        <w:rPr>
          <w:rFonts w:ascii="Arial" w:hAnsi="Arial" w:cs="Arial"/>
          <w:sz w:val="24"/>
          <w:szCs w:val="24"/>
        </w:rPr>
        <w:t xml:space="preserve"> was </w:t>
      </w:r>
      <w:r w:rsidR="009326A0">
        <w:rPr>
          <w:rFonts w:ascii="Arial" w:hAnsi="Arial" w:cs="Arial"/>
          <w:sz w:val="24"/>
          <w:szCs w:val="24"/>
        </w:rPr>
        <w:t xml:space="preserve">just over 200 </w:t>
      </w:r>
      <w:r w:rsidR="007A6820">
        <w:rPr>
          <w:rFonts w:ascii="Arial" w:hAnsi="Arial" w:cs="Arial"/>
          <w:sz w:val="24"/>
          <w:szCs w:val="24"/>
        </w:rPr>
        <w:t>fewer</w:t>
      </w:r>
      <w:r w:rsidR="009326A0">
        <w:rPr>
          <w:rFonts w:ascii="Arial" w:hAnsi="Arial" w:cs="Arial"/>
          <w:sz w:val="24"/>
          <w:szCs w:val="24"/>
        </w:rPr>
        <w:t xml:space="preserve"> than</w:t>
      </w:r>
      <w:r w:rsidR="00747F3B" w:rsidRPr="00A216FF">
        <w:rPr>
          <w:rFonts w:ascii="Arial" w:hAnsi="Arial" w:cs="Arial"/>
          <w:sz w:val="24"/>
          <w:szCs w:val="24"/>
        </w:rPr>
        <w:t xml:space="preserve"> that of </w:t>
      </w:r>
      <w:r w:rsidR="003516FD">
        <w:rPr>
          <w:rFonts w:ascii="Arial" w:hAnsi="Arial" w:cs="Arial"/>
          <w:sz w:val="24"/>
          <w:szCs w:val="24"/>
        </w:rPr>
        <w:t>the preceding year (C</w:t>
      </w:r>
      <w:r w:rsidR="007A6820">
        <w:rPr>
          <w:rFonts w:ascii="Arial" w:hAnsi="Arial" w:cs="Arial"/>
          <w:sz w:val="24"/>
          <w:szCs w:val="24"/>
        </w:rPr>
        <w:t>hart 1a).</w:t>
      </w:r>
    </w:p>
    <w:p w:rsidR="00747F3B" w:rsidRDefault="00747F3B" w:rsidP="00E87F05">
      <w:pPr>
        <w:pStyle w:val="ListParagraph"/>
        <w:ind w:left="709"/>
        <w:rPr>
          <w:rFonts w:ascii="Arial" w:hAnsi="Arial" w:cs="Arial"/>
          <w:sz w:val="24"/>
          <w:szCs w:val="24"/>
        </w:rPr>
      </w:pPr>
    </w:p>
    <w:p w:rsidR="00B8273B" w:rsidRDefault="00B8273B" w:rsidP="00E87F05">
      <w:pPr>
        <w:pStyle w:val="ListParagraph"/>
        <w:ind w:left="709"/>
        <w:rPr>
          <w:rFonts w:ascii="Arial" w:hAnsi="Arial" w:cs="Arial"/>
          <w:sz w:val="24"/>
          <w:szCs w:val="24"/>
        </w:rPr>
      </w:pPr>
      <w:r>
        <w:rPr>
          <w:noProof/>
          <w:lang w:eastAsia="en-GB"/>
        </w:rPr>
        <w:drawing>
          <wp:inline distT="0" distB="0" distL="0" distR="0" wp14:anchorId="3229483C" wp14:editId="24903F18">
            <wp:extent cx="5750560" cy="2265680"/>
            <wp:effectExtent l="0" t="0" r="254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12D6" w:rsidRPr="00A216FF" w:rsidRDefault="005112D6" w:rsidP="00E87F05">
      <w:pPr>
        <w:pStyle w:val="ListParagraph"/>
        <w:ind w:left="709"/>
        <w:rPr>
          <w:rFonts w:ascii="Arial" w:hAnsi="Arial" w:cs="Arial"/>
          <w:sz w:val="24"/>
          <w:szCs w:val="24"/>
        </w:rPr>
      </w:pPr>
    </w:p>
    <w:p w:rsidR="00B3238B" w:rsidRPr="00F70E11" w:rsidRDefault="00066204" w:rsidP="00F70E11">
      <w:pPr>
        <w:pStyle w:val="ListParagraph"/>
        <w:spacing w:after="0"/>
        <w:ind w:left="709"/>
        <w:rPr>
          <w:rFonts w:ascii="Arial" w:hAnsi="Arial" w:cs="Arial"/>
          <w:b/>
          <w:sz w:val="24"/>
          <w:szCs w:val="24"/>
        </w:rPr>
      </w:pPr>
      <w:r>
        <w:rPr>
          <w:rFonts w:ascii="Arial" w:hAnsi="Arial" w:cs="Arial"/>
          <w:b/>
          <w:sz w:val="24"/>
          <w:szCs w:val="24"/>
        </w:rPr>
        <w:t>Chart 1a: T</w:t>
      </w:r>
      <w:r w:rsidR="00FF7F11" w:rsidRPr="00A216FF">
        <w:rPr>
          <w:rFonts w:ascii="Arial" w:hAnsi="Arial" w:cs="Arial"/>
          <w:b/>
          <w:sz w:val="24"/>
          <w:szCs w:val="24"/>
        </w:rPr>
        <w:t>otal number of extenuation claims since 2005</w:t>
      </w:r>
    </w:p>
    <w:p w:rsidR="00027627" w:rsidRPr="00323724" w:rsidRDefault="00027627" w:rsidP="00E87F05">
      <w:pPr>
        <w:pStyle w:val="ListParagraph"/>
        <w:ind w:left="0"/>
        <w:rPr>
          <w:rFonts w:ascii="Arial" w:hAnsi="Arial" w:cs="Arial"/>
          <w:sz w:val="24"/>
          <w:szCs w:val="24"/>
        </w:rPr>
      </w:pPr>
    </w:p>
    <w:p w:rsidR="00491D04" w:rsidRPr="00323724" w:rsidRDefault="00F707DC" w:rsidP="00E87F05">
      <w:pPr>
        <w:pStyle w:val="ListParagraph"/>
        <w:ind w:left="709" w:hanging="709"/>
        <w:rPr>
          <w:rFonts w:ascii="Arial" w:hAnsi="Arial" w:cs="Arial"/>
          <w:sz w:val="24"/>
          <w:szCs w:val="24"/>
        </w:rPr>
      </w:pPr>
      <w:r>
        <w:rPr>
          <w:rFonts w:ascii="Arial" w:hAnsi="Arial" w:cs="Arial"/>
          <w:sz w:val="24"/>
          <w:szCs w:val="24"/>
        </w:rPr>
        <w:t>2.3</w:t>
      </w:r>
      <w:r w:rsidR="00491D04" w:rsidRPr="00323724">
        <w:rPr>
          <w:rFonts w:ascii="Arial" w:hAnsi="Arial" w:cs="Arial"/>
          <w:sz w:val="24"/>
          <w:szCs w:val="24"/>
        </w:rPr>
        <w:tab/>
        <w:t>Table 2a below</w:t>
      </w:r>
      <w:r w:rsidR="00323724" w:rsidRPr="00323724">
        <w:rPr>
          <w:rFonts w:ascii="Arial" w:hAnsi="Arial" w:cs="Arial"/>
          <w:sz w:val="24"/>
          <w:szCs w:val="24"/>
        </w:rPr>
        <w:t xml:space="preserve"> highlights</w:t>
      </w:r>
      <w:r w:rsidR="00491D04" w:rsidRPr="00323724">
        <w:rPr>
          <w:rFonts w:ascii="Arial" w:hAnsi="Arial" w:cs="Arial"/>
          <w:sz w:val="24"/>
          <w:szCs w:val="24"/>
        </w:rPr>
        <w:t xml:space="preserve"> the percentage of students from each school who made at least one</w:t>
      </w:r>
      <w:r w:rsidR="00996A29">
        <w:rPr>
          <w:rFonts w:ascii="Arial" w:hAnsi="Arial" w:cs="Arial"/>
          <w:sz w:val="24"/>
          <w:szCs w:val="24"/>
        </w:rPr>
        <w:t xml:space="preserve"> component</w:t>
      </w:r>
      <w:r w:rsidR="00491D04" w:rsidRPr="00323724">
        <w:rPr>
          <w:rFonts w:ascii="Arial" w:hAnsi="Arial" w:cs="Arial"/>
          <w:sz w:val="24"/>
          <w:szCs w:val="24"/>
        </w:rPr>
        <w:t xml:space="preserve"> claim for extenuation in </w:t>
      </w:r>
      <w:r w:rsidR="007A6820">
        <w:rPr>
          <w:rFonts w:ascii="Arial" w:hAnsi="Arial" w:cs="Arial"/>
          <w:sz w:val="24"/>
          <w:szCs w:val="24"/>
        </w:rPr>
        <w:t>2014-15</w:t>
      </w:r>
      <w:r w:rsidR="00491D04" w:rsidRPr="00323724">
        <w:rPr>
          <w:rFonts w:ascii="Arial" w:hAnsi="Arial" w:cs="Arial"/>
          <w:sz w:val="24"/>
          <w:szCs w:val="24"/>
        </w:rPr>
        <w:t>.</w:t>
      </w:r>
    </w:p>
    <w:p w:rsidR="00027627" w:rsidRDefault="00B8273B" w:rsidP="00E87F05">
      <w:pPr>
        <w:pStyle w:val="ListParagraph"/>
        <w:ind w:left="0"/>
        <w:rPr>
          <w:rFonts w:ascii="Arial" w:hAnsi="Arial" w:cs="Arial"/>
          <w:sz w:val="24"/>
          <w:szCs w:val="24"/>
        </w:rPr>
      </w:pPr>
      <w:r>
        <w:rPr>
          <w:rFonts w:ascii="Arial" w:hAnsi="Arial" w:cs="Arial"/>
          <w:sz w:val="24"/>
          <w:szCs w:val="24"/>
        </w:rPr>
        <w:tab/>
      </w:r>
    </w:p>
    <w:tbl>
      <w:tblPr>
        <w:tblW w:w="5450" w:type="dxa"/>
        <w:tblInd w:w="1773" w:type="dxa"/>
        <w:tblLook w:val="04A0" w:firstRow="1" w:lastRow="0" w:firstColumn="1" w:lastColumn="0" w:noHBand="0" w:noVBand="1"/>
      </w:tblPr>
      <w:tblGrid>
        <w:gridCol w:w="1500"/>
        <w:gridCol w:w="1500"/>
        <w:gridCol w:w="1264"/>
        <w:gridCol w:w="1186"/>
      </w:tblGrid>
      <w:tr w:rsidR="00B8273B" w:rsidRPr="00B8273B" w:rsidTr="006739F1">
        <w:trPr>
          <w:trHeight w:val="880"/>
        </w:trPr>
        <w:tc>
          <w:tcPr>
            <w:tcW w:w="1500"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School</w:t>
            </w:r>
          </w:p>
        </w:tc>
        <w:tc>
          <w:tcPr>
            <w:tcW w:w="1500" w:type="dxa"/>
            <w:tcBorders>
              <w:top w:val="single" w:sz="8" w:space="0" w:color="auto"/>
              <w:left w:val="nil"/>
              <w:bottom w:val="single" w:sz="8" w:space="0" w:color="auto"/>
              <w:right w:val="single" w:sz="8" w:space="0" w:color="auto"/>
            </w:tcBorders>
            <w:shd w:val="clear" w:color="000000" w:fill="B8CCE4"/>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Number of students who applied</w:t>
            </w:r>
          </w:p>
        </w:tc>
        <w:tc>
          <w:tcPr>
            <w:tcW w:w="1264" w:type="dxa"/>
            <w:tcBorders>
              <w:top w:val="single" w:sz="8" w:space="0" w:color="auto"/>
              <w:left w:val="nil"/>
              <w:bottom w:val="single" w:sz="8" w:space="0" w:color="auto"/>
              <w:right w:val="single" w:sz="8" w:space="0" w:color="auto"/>
            </w:tcBorders>
            <w:shd w:val="clear" w:color="000000" w:fill="B8CCE4"/>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Enrolments</w:t>
            </w:r>
          </w:p>
        </w:tc>
        <w:tc>
          <w:tcPr>
            <w:tcW w:w="1186"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w:t>
            </w:r>
            <w:r w:rsidR="006739F1">
              <w:rPr>
                <w:rFonts w:ascii="Calibri" w:eastAsia="Times New Roman" w:hAnsi="Calibri" w:cs="Times New Roman"/>
                <w:b/>
                <w:bCs/>
                <w:color w:val="000000"/>
                <w:lang w:eastAsia="en-GB"/>
              </w:rPr>
              <w:t xml:space="preserve"> </w:t>
            </w:r>
            <w:r w:rsidRPr="00B8273B">
              <w:rPr>
                <w:rFonts w:ascii="Calibri" w:eastAsia="Times New Roman" w:hAnsi="Calibri" w:cs="Times New Roman"/>
                <w:b/>
                <w:bCs/>
                <w:color w:val="000000"/>
                <w:lang w:eastAsia="en-GB"/>
              </w:rPr>
              <w:t>Students who applied</w:t>
            </w:r>
          </w:p>
        </w:tc>
      </w:tr>
      <w:tr w:rsidR="00B8273B" w:rsidRPr="00B8273B" w:rsidTr="00B8273B">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ACE</w:t>
            </w:r>
          </w:p>
        </w:tc>
        <w:tc>
          <w:tcPr>
            <w:tcW w:w="150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64</w:t>
            </w:r>
          </w:p>
        </w:tc>
        <w:tc>
          <w:tcPr>
            <w:tcW w:w="1264" w:type="dxa"/>
            <w:tcBorders>
              <w:top w:val="nil"/>
              <w:left w:val="nil"/>
              <w:bottom w:val="nil"/>
              <w:right w:val="single" w:sz="8" w:space="0" w:color="auto"/>
            </w:tcBorders>
            <w:shd w:val="clear" w:color="auto" w:fill="auto"/>
            <w:noWrap/>
            <w:vAlign w:val="bottom"/>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1785</w:t>
            </w:r>
          </w:p>
        </w:tc>
        <w:tc>
          <w:tcPr>
            <w:tcW w:w="1186"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4%</w:t>
            </w:r>
          </w:p>
        </w:tc>
      </w:tr>
      <w:tr w:rsidR="00B8273B" w:rsidRPr="00B8273B" w:rsidTr="00B8273B">
        <w:trPr>
          <w:trHeight w:val="290"/>
        </w:trPr>
        <w:tc>
          <w:tcPr>
            <w:tcW w:w="1500" w:type="dxa"/>
            <w:tcBorders>
              <w:top w:val="nil"/>
              <w:left w:val="single" w:sz="8" w:space="0" w:color="auto"/>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ADI</w:t>
            </w:r>
          </w:p>
        </w:tc>
        <w:tc>
          <w:tcPr>
            <w:tcW w:w="150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79</w:t>
            </w:r>
          </w:p>
        </w:tc>
        <w:tc>
          <w:tcPr>
            <w:tcW w:w="1264" w:type="dxa"/>
            <w:tcBorders>
              <w:top w:val="nil"/>
              <w:left w:val="nil"/>
              <w:bottom w:val="nil"/>
              <w:right w:val="single" w:sz="8" w:space="0" w:color="auto"/>
            </w:tcBorders>
            <w:shd w:val="clear" w:color="000000" w:fill="BDD7EE"/>
            <w:noWrap/>
            <w:vAlign w:val="bottom"/>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2237</w:t>
            </w:r>
          </w:p>
        </w:tc>
        <w:tc>
          <w:tcPr>
            <w:tcW w:w="1186"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4%</w:t>
            </w:r>
          </w:p>
        </w:tc>
      </w:tr>
      <w:tr w:rsidR="00B8273B" w:rsidRPr="00B8273B" w:rsidTr="00B8273B">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CASS</w:t>
            </w:r>
          </w:p>
        </w:tc>
        <w:tc>
          <w:tcPr>
            <w:tcW w:w="150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102</w:t>
            </w:r>
          </w:p>
        </w:tc>
        <w:tc>
          <w:tcPr>
            <w:tcW w:w="1264" w:type="dxa"/>
            <w:tcBorders>
              <w:top w:val="nil"/>
              <w:left w:val="nil"/>
              <w:bottom w:val="nil"/>
              <w:right w:val="single" w:sz="8" w:space="0" w:color="auto"/>
            </w:tcBorders>
            <w:shd w:val="clear" w:color="auto" w:fill="auto"/>
            <w:noWrap/>
            <w:vAlign w:val="bottom"/>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2309</w:t>
            </w:r>
          </w:p>
        </w:tc>
        <w:tc>
          <w:tcPr>
            <w:tcW w:w="1186"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4%</w:t>
            </w:r>
          </w:p>
        </w:tc>
      </w:tr>
      <w:tr w:rsidR="00B8273B" w:rsidRPr="00B8273B" w:rsidTr="00B8273B">
        <w:trPr>
          <w:trHeight w:val="290"/>
        </w:trPr>
        <w:tc>
          <w:tcPr>
            <w:tcW w:w="1500" w:type="dxa"/>
            <w:tcBorders>
              <w:top w:val="nil"/>
              <w:left w:val="single" w:sz="8" w:space="0" w:color="auto"/>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HSB</w:t>
            </w:r>
          </w:p>
        </w:tc>
        <w:tc>
          <w:tcPr>
            <w:tcW w:w="150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173</w:t>
            </w:r>
          </w:p>
        </w:tc>
        <w:tc>
          <w:tcPr>
            <w:tcW w:w="1264" w:type="dxa"/>
            <w:tcBorders>
              <w:top w:val="nil"/>
              <w:left w:val="nil"/>
              <w:bottom w:val="nil"/>
              <w:right w:val="single" w:sz="8" w:space="0" w:color="auto"/>
            </w:tcBorders>
            <w:shd w:val="clear" w:color="000000" w:fill="BDD7EE"/>
            <w:noWrap/>
            <w:vAlign w:val="bottom"/>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2356</w:t>
            </w:r>
          </w:p>
        </w:tc>
        <w:tc>
          <w:tcPr>
            <w:tcW w:w="1186"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7%</w:t>
            </w:r>
          </w:p>
        </w:tc>
      </w:tr>
      <w:tr w:rsidR="00B8273B" w:rsidRPr="00B8273B" w:rsidTr="00B8273B">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proofErr w:type="spellStart"/>
            <w:r w:rsidRPr="00B8273B">
              <w:rPr>
                <w:rFonts w:ascii="Calibri" w:eastAsia="Times New Roman" w:hAnsi="Calibri" w:cs="Times New Roman"/>
                <w:b/>
                <w:bCs/>
                <w:color w:val="000000"/>
                <w:lang w:eastAsia="en-GB"/>
              </w:rPr>
              <w:t>Soc</w:t>
            </w:r>
            <w:proofErr w:type="spellEnd"/>
            <w:r w:rsidRPr="00B8273B">
              <w:rPr>
                <w:rFonts w:ascii="Calibri" w:eastAsia="Times New Roman" w:hAnsi="Calibri" w:cs="Times New Roman"/>
                <w:b/>
                <w:bCs/>
                <w:color w:val="000000"/>
                <w:lang w:eastAsia="en-GB"/>
              </w:rPr>
              <w:t xml:space="preserve"> </w:t>
            </w:r>
            <w:proofErr w:type="spellStart"/>
            <w:r w:rsidRPr="00B8273B">
              <w:rPr>
                <w:rFonts w:ascii="Calibri" w:eastAsia="Times New Roman" w:hAnsi="Calibri" w:cs="Times New Roman"/>
                <w:b/>
                <w:bCs/>
                <w:color w:val="000000"/>
                <w:lang w:eastAsia="en-GB"/>
              </w:rPr>
              <w:t>Sci</w:t>
            </w:r>
            <w:proofErr w:type="spellEnd"/>
          </w:p>
        </w:tc>
        <w:tc>
          <w:tcPr>
            <w:tcW w:w="150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69</w:t>
            </w:r>
          </w:p>
        </w:tc>
        <w:tc>
          <w:tcPr>
            <w:tcW w:w="1264" w:type="dxa"/>
            <w:tcBorders>
              <w:top w:val="nil"/>
              <w:left w:val="nil"/>
              <w:bottom w:val="nil"/>
              <w:right w:val="single" w:sz="8" w:space="0" w:color="auto"/>
            </w:tcBorders>
            <w:shd w:val="clear" w:color="auto" w:fill="auto"/>
            <w:noWrap/>
            <w:vAlign w:val="bottom"/>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844</w:t>
            </w:r>
          </w:p>
        </w:tc>
        <w:tc>
          <w:tcPr>
            <w:tcW w:w="1186"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8%</w:t>
            </w:r>
          </w:p>
        </w:tc>
      </w:tr>
      <w:tr w:rsidR="00B8273B" w:rsidRPr="00B8273B" w:rsidTr="00B8273B">
        <w:trPr>
          <w:trHeight w:val="290"/>
        </w:trPr>
        <w:tc>
          <w:tcPr>
            <w:tcW w:w="1500" w:type="dxa"/>
            <w:tcBorders>
              <w:top w:val="nil"/>
              <w:left w:val="single" w:sz="8" w:space="0" w:color="auto"/>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PSY</w:t>
            </w:r>
          </w:p>
        </w:tc>
        <w:tc>
          <w:tcPr>
            <w:tcW w:w="150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121</w:t>
            </w:r>
          </w:p>
        </w:tc>
        <w:tc>
          <w:tcPr>
            <w:tcW w:w="1264" w:type="dxa"/>
            <w:tcBorders>
              <w:top w:val="nil"/>
              <w:left w:val="nil"/>
              <w:bottom w:val="nil"/>
              <w:right w:val="single" w:sz="8" w:space="0" w:color="auto"/>
            </w:tcBorders>
            <w:shd w:val="clear" w:color="000000" w:fill="BDD7EE"/>
            <w:noWrap/>
            <w:vAlign w:val="bottom"/>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1585</w:t>
            </w:r>
          </w:p>
        </w:tc>
        <w:tc>
          <w:tcPr>
            <w:tcW w:w="1186"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8%</w:t>
            </w:r>
          </w:p>
        </w:tc>
      </w:tr>
      <w:tr w:rsidR="00B8273B" w:rsidRPr="00B8273B" w:rsidTr="00B8273B">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Bus &amp; Law</w:t>
            </w:r>
          </w:p>
        </w:tc>
        <w:tc>
          <w:tcPr>
            <w:tcW w:w="1500" w:type="dxa"/>
            <w:tcBorders>
              <w:top w:val="nil"/>
              <w:left w:val="nil"/>
              <w:bottom w:val="single" w:sz="8" w:space="0" w:color="auto"/>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142</w:t>
            </w:r>
          </w:p>
        </w:tc>
        <w:tc>
          <w:tcPr>
            <w:tcW w:w="1264" w:type="dxa"/>
            <w:tcBorders>
              <w:top w:val="nil"/>
              <w:left w:val="nil"/>
              <w:bottom w:val="single" w:sz="8" w:space="0" w:color="auto"/>
              <w:right w:val="single" w:sz="8" w:space="0" w:color="auto"/>
            </w:tcBorders>
            <w:shd w:val="clear" w:color="auto" w:fill="auto"/>
            <w:noWrap/>
            <w:vAlign w:val="bottom"/>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2301</w:t>
            </w:r>
          </w:p>
        </w:tc>
        <w:tc>
          <w:tcPr>
            <w:tcW w:w="1186" w:type="dxa"/>
            <w:tcBorders>
              <w:top w:val="nil"/>
              <w:left w:val="nil"/>
              <w:bottom w:val="single" w:sz="8" w:space="0" w:color="auto"/>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6%</w:t>
            </w:r>
          </w:p>
        </w:tc>
      </w:tr>
    </w:tbl>
    <w:p w:rsidR="00B8273B" w:rsidRDefault="00B8273B" w:rsidP="00E87F05">
      <w:pPr>
        <w:pStyle w:val="ListParagraph"/>
        <w:ind w:left="0"/>
        <w:rPr>
          <w:rFonts w:ascii="Arial" w:hAnsi="Arial" w:cs="Arial"/>
          <w:sz w:val="24"/>
          <w:szCs w:val="24"/>
        </w:rPr>
      </w:pPr>
    </w:p>
    <w:p w:rsidR="00CE1479" w:rsidRPr="009326A0" w:rsidRDefault="00E87F05" w:rsidP="00E87F05">
      <w:pPr>
        <w:pStyle w:val="ListParagraph"/>
        <w:ind w:left="0"/>
        <w:rPr>
          <w:rFonts w:ascii="Arial" w:hAnsi="Arial" w:cs="Arial"/>
          <w:b/>
          <w:sz w:val="24"/>
          <w:szCs w:val="24"/>
        </w:rPr>
      </w:pPr>
      <w:r>
        <w:rPr>
          <w:rFonts w:ascii="Arial" w:hAnsi="Arial" w:cs="Arial"/>
          <w:b/>
          <w:sz w:val="24"/>
          <w:szCs w:val="24"/>
        </w:rPr>
        <w:tab/>
      </w:r>
      <w:r w:rsidR="00491D04" w:rsidRPr="00A66E58">
        <w:rPr>
          <w:rFonts w:ascii="Arial" w:hAnsi="Arial" w:cs="Arial"/>
          <w:b/>
          <w:sz w:val="24"/>
          <w:szCs w:val="24"/>
        </w:rPr>
        <w:t>Table 2a: Extenuation activity by academic School</w:t>
      </w:r>
    </w:p>
    <w:p w:rsidR="00CE1479" w:rsidRDefault="00CE1479" w:rsidP="00E87F05">
      <w:pPr>
        <w:pStyle w:val="ListParagraph"/>
        <w:ind w:left="0"/>
        <w:rPr>
          <w:rFonts w:ascii="Arial" w:hAnsi="Arial" w:cs="Arial"/>
          <w:sz w:val="24"/>
          <w:szCs w:val="24"/>
        </w:rPr>
      </w:pPr>
    </w:p>
    <w:p w:rsidR="00266691" w:rsidRPr="00A216FF" w:rsidRDefault="00266691" w:rsidP="00E87F05">
      <w:pPr>
        <w:pStyle w:val="ListParagraph"/>
        <w:ind w:left="0"/>
        <w:rPr>
          <w:rFonts w:ascii="Arial" w:hAnsi="Arial" w:cs="Arial"/>
          <w:sz w:val="24"/>
          <w:szCs w:val="24"/>
        </w:rPr>
      </w:pPr>
      <w:r w:rsidRPr="00A216FF">
        <w:rPr>
          <w:rFonts w:ascii="Arial" w:hAnsi="Arial" w:cs="Arial"/>
          <w:sz w:val="24"/>
          <w:szCs w:val="24"/>
        </w:rPr>
        <w:t>2.</w:t>
      </w:r>
      <w:r w:rsidR="00F707DC">
        <w:rPr>
          <w:rFonts w:ascii="Arial" w:hAnsi="Arial" w:cs="Arial"/>
          <w:sz w:val="24"/>
          <w:szCs w:val="24"/>
        </w:rPr>
        <w:t>4</w:t>
      </w:r>
      <w:r w:rsidRPr="00A216FF">
        <w:rPr>
          <w:rFonts w:ascii="Arial" w:hAnsi="Arial" w:cs="Arial"/>
          <w:sz w:val="24"/>
          <w:szCs w:val="24"/>
        </w:rPr>
        <w:tab/>
      </w:r>
      <w:r w:rsidR="0083720D" w:rsidRPr="00A216FF">
        <w:rPr>
          <w:rFonts w:ascii="Arial" w:hAnsi="Arial" w:cs="Arial"/>
          <w:sz w:val="24"/>
          <w:szCs w:val="24"/>
        </w:rPr>
        <w:t xml:space="preserve">In </w:t>
      </w:r>
      <w:r w:rsidR="007A6820">
        <w:rPr>
          <w:rFonts w:ascii="Arial" w:hAnsi="Arial" w:cs="Arial"/>
          <w:sz w:val="24"/>
          <w:szCs w:val="24"/>
        </w:rPr>
        <w:t>2014-15</w:t>
      </w:r>
      <w:r w:rsidR="0083720D" w:rsidRPr="00A216FF">
        <w:rPr>
          <w:rFonts w:ascii="Arial" w:hAnsi="Arial" w:cs="Arial"/>
          <w:sz w:val="24"/>
          <w:szCs w:val="24"/>
        </w:rPr>
        <w:t xml:space="preserve"> the overall percentage of </w:t>
      </w:r>
      <w:r w:rsidR="00223304" w:rsidRPr="00A216FF">
        <w:rPr>
          <w:rFonts w:ascii="Arial" w:hAnsi="Arial" w:cs="Arial"/>
          <w:sz w:val="24"/>
          <w:szCs w:val="24"/>
        </w:rPr>
        <w:t>successful claims was</w:t>
      </w:r>
      <w:r w:rsidR="007A6820">
        <w:rPr>
          <w:rFonts w:ascii="Arial" w:hAnsi="Arial" w:cs="Arial"/>
          <w:sz w:val="24"/>
          <w:szCs w:val="24"/>
        </w:rPr>
        <w:t xml:space="preserve"> </w:t>
      </w:r>
      <w:r w:rsidR="001226FD">
        <w:rPr>
          <w:rFonts w:ascii="Arial" w:hAnsi="Arial" w:cs="Arial"/>
          <w:sz w:val="24"/>
          <w:szCs w:val="24"/>
        </w:rPr>
        <w:t>57.57</w:t>
      </w:r>
      <w:r w:rsidR="00E75C1E" w:rsidRPr="00A216FF">
        <w:rPr>
          <w:rFonts w:ascii="Arial" w:hAnsi="Arial" w:cs="Arial"/>
          <w:sz w:val="24"/>
          <w:szCs w:val="24"/>
        </w:rPr>
        <w:t>%</w:t>
      </w:r>
      <w:r w:rsidR="001226FD">
        <w:rPr>
          <w:rFonts w:ascii="Arial" w:hAnsi="Arial" w:cs="Arial"/>
          <w:sz w:val="24"/>
          <w:szCs w:val="24"/>
        </w:rPr>
        <w:t xml:space="preserve">, </w:t>
      </w:r>
      <w:r w:rsidR="001226FD">
        <w:rPr>
          <w:rFonts w:ascii="Arial" w:hAnsi="Arial" w:cs="Arial"/>
          <w:sz w:val="24"/>
          <w:szCs w:val="24"/>
        </w:rPr>
        <w:tab/>
        <w:t>which is comparable to success rates in recent years.</w:t>
      </w:r>
    </w:p>
    <w:p w:rsidR="00C75E1F" w:rsidRDefault="00C75E1F" w:rsidP="00E87F05">
      <w:pPr>
        <w:pStyle w:val="ListParagraph"/>
        <w:spacing w:after="0"/>
        <w:ind w:left="709"/>
        <w:rPr>
          <w:rFonts w:ascii="Arial" w:hAnsi="Arial" w:cs="Arial"/>
          <w:b/>
          <w:sz w:val="24"/>
          <w:szCs w:val="24"/>
        </w:rPr>
      </w:pPr>
    </w:p>
    <w:p w:rsidR="00E92838" w:rsidRDefault="00E92838" w:rsidP="00E87F05">
      <w:pPr>
        <w:pStyle w:val="ListParagraph"/>
        <w:spacing w:after="0"/>
        <w:ind w:left="709"/>
        <w:rPr>
          <w:rFonts w:ascii="Arial" w:hAnsi="Arial" w:cs="Arial"/>
          <w:b/>
          <w:sz w:val="24"/>
          <w:szCs w:val="24"/>
        </w:rPr>
      </w:pPr>
    </w:p>
    <w:p w:rsidR="00E92838" w:rsidRDefault="00E92838" w:rsidP="00E87F05">
      <w:pPr>
        <w:pStyle w:val="ListParagraph"/>
        <w:spacing w:after="0"/>
        <w:ind w:left="709"/>
        <w:rPr>
          <w:rFonts w:ascii="Arial" w:hAnsi="Arial" w:cs="Arial"/>
          <w:b/>
          <w:sz w:val="24"/>
          <w:szCs w:val="24"/>
        </w:rPr>
      </w:pPr>
    </w:p>
    <w:p w:rsidR="00E92838" w:rsidRDefault="00E92838" w:rsidP="00E87F05">
      <w:pPr>
        <w:pStyle w:val="ListParagraph"/>
        <w:spacing w:after="0"/>
        <w:ind w:left="709"/>
        <w:rPr>
          <w:rFonts w:ascii="Arial" w:hAnsi="Arial" w:cs="Arial"/>
          <w:b/>
          <w:sz w:val="24"/>
          <w:szCs w:val="24"/>
        </w:rPr>
      </w:pPr>
    </w:p>
    <w:p w:rsidR="00E92838" w:rsidRDefault="00E92838" w:rsidP="00E87F05">
      <w:pPr>
        <w:pStyle w:val="ListParagraph"/>
        <w:spacing w:after="0"/>
        <w:ind w:left="709"/>
        <w:rPr>
          <w:rFonts w:ascii="Arial" w:hAnsi="Arial" w:cs="Arial"/>
          <w:b/>
          <w:sz w:val="24"/>
          <w:szCs w:val="24"/>
        </w:rPr>
      </w:pPr>
    </w:p>
    <w:p w:rsidR="00B8273B" w:rsidRDefault="00B8273B" w:rsidP="00E87F05">
      <w:pPr>
        <w:pStyle w:val="ListParagraph"/>
        <w:spacing w:after="0"/>
        <w:ind w:left="709"/>
        <w:rPr>
          <w:rFonts w:ascii="Arial" w:hAnsi="Arial" w:cs="Arial"/>
          <w:b/>
          <w:sz w:val="24"/>
          <w:szCs w:val="24"/>
        </w:rPr>
      </w:pPr>
    </w:p>
    <w:tbl>
      <w:tblPr>
        <w:tblW w:w="3000" w:type="dxa"/>
        <w:tblInd w:w="2998" w:type="dxa"/>
        <w:tblLook w:val="04A0" w:firstRow="1" w:lastRow="0" w:firstColumn="1" w:lastColumn="0" w:noHBand="0" w:noVBand="1"/>
      </w:tblPr>
      <w:tblGrid>
        <w:gridCol w:w="1500"/>
        <w:gridCol w:w="1500"/>
      </w:tblGrid>
      <w:tr w:rsidR="00B8273B" w:rsidRPr="00B8273B" w:rsidTr="00F70E11">
        <w:trPr>
          <w:trHeight w:val="880"/>
        </w:trPr>
        <w:tc>
          <w:tcPr>
            <w:tcW w:w="1500" w:type="dxa"/>
            <w:tcBorders>
              <w:top w:val="single" w:sz="8" w:space="0" w:color="auto"/>
              <w:left w:val="single" w:sz="8" w:space="0" w:color="auto"/>
              <w:bottom w:val="single" w:sz="8" w:space="0" w:color="auto"/>
              <w:right w:val="nil"/>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lastRenderedPageBreak/>
              <w:t> </w:t>
            </w:r>
          </w:p>
        </w:tc>
        <w:tc>
          <w:tcPr>
            <w:tcW w:w="150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 Accept</w:t>
            </w:r>
          </w:p>
        </w:tc>
      </w:tr>
      <w:tr w:rsidR="00B8273B" w:rsidRPr="00B8273B" w:rsidTr="00F70E11">
        <w:trPr>
          <w:trHeight w:val="440"/>
        </w:trPr>
        <w:tc>
          <w:tcPr>
            <w:tcW w:w="1500" w:type="dxa"/>
            <w:tcBorders>
              <w:top w:val="nil"/>
              <w:left w:val="single" w:sz="8" w:space="0" w:color="auto"/>
              <w:bottom w:val="nil"/>
              <w:right w:val="nil"/>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proofErr w:type="spellStart"/>
            <w:r w:rsidRPr="00B8273B">
              <w:rPr>
                <w:rFonts w:ascii="Calibri" w:eastAsia="Times New Roman" w:hAnsi="Calibri" w:cs="Times New Roman"/>
                <w:b/>
                <w:bCs/>
                <w:color w:val="000000"/>
                <w:lang w:eastAsia="en-GB"/>
              </w:rPr>
              <w:t>Sem</w:t>
            </w:r>
            <w:proofErr w:type="spellEnd"/>
            <w:r w:rsidRPr="00B8273B">
              <w:rPr>
                <w:rFonts w:ascii="Calibri" w:eastAsia="Times New Roman" w:hAnsi="Calibri" w:cs="Times New Roman"/>
                <w:b/>
                <w:bCs/>
                <w:color w:val="000000"/>
                <w:lang w:eastAsia="en-GB"/>
              </w:rPr>
              <w:t xml:space="preserve"> A</w:t>
            </w:r>
          </w:p>
        </w:tc>
        <w:tc>
          <w:tcPr>
            <w:tcW w:w="1500" w:type="dxa"/>
            <w:tcBorders>
              <w:top w:val="nil"/>
              <w:left w:val="single" w:sz="8" w:space="0" w:color="auto"/>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51.28%</w:t>
            </w:r>
          </w:p>
        </w:tc>
      </w:tr>
      <w:tr w:rsidR="00B8273B" w:rsidRPr="00B8273B" w:rsidTr="00F70E11">
        <w:trPr>
          <w:trHeight w:val="440"/>
        </w:trPr>
        <w:tc>
          <w:tcPr>
            <w:tcW w:w="1500" w:type="dxa"/>
            <w:tcBorders>
              <w:top w:val="nil"/>
              <w:left w:val="single" w:sz="8" w:space="0" w:color="auto"/>
              <w:bottom w:val="nil"/>
              <w:right w:val="nil"/>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proofErr w:type="spellStart"/>
            <w:r w:rsidRPr="00B8273B">
              <w:rPr>
                <w:rFonts w:ascii="Calibri" w:eastAsia="Times New Roman" w:hAnsi="Calibri" w:cs="Times New Roman"/>
                <w:b/>
                <w:bCs/>
                <w:color w:val="000000"/>
                <w:lang w:eastAsia="en-GB"/>
              </w:rPr>
              <w:t>Sem</w:t>
            </w:r>
            <w:proofErr w:type="spellEnd"/>
            <w:r w:rsidRPr="00B8273B">
              <w:rPr>
                <w:rFonts w:ascii="Calibri" w:eastAsia="Times New Roman" w:hAnsi="Calibri" w:cs="Times New Roman"/>
                <w:b/>
                <w:bCs/>
                <w:color w:val="000000"/>
                <w:lang w:eastAsia="en-GB"/>
              </w:rPr>
              <w:t xml:space="preserve"> B</w:t>
            </w:r>
          </w:p>
        </w:tc>
        <w:tc>
          <w:tcPr>
            <w:tcW w:w="1500" w:type="dxa"/>
            <w:tcBorders>
              <w:top w:val="nil"/>
              <w:left w:val="single" w:sz="8" w:space="0" w:color="auto"/>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64.32%</w:t>
            </w:r>
          </w:p>
        </w:tc>
      </w:tr>
      <w:tr w:rsidR="00B8273B" w:rsidRPr="00B8273B" w:rsidTr="00F70E11">
        <w:trPr>
          <w:trHeight w:val="440"/>
        </w:trPr>
        <w:tc>
          <w:tcPr>
            <w:tcW w:w="1500" w:type="dxa"/>
            <w:tcBorders>
              <w:top w:val="nil"/>
              <w:left w:val="single" w:sz="8" w:space="0" w:color="auto"/>
              <w:bottom w:val="single" w:sz="8" w:space="0" w:color="auto"/>
              <w:right w:val="nil"/>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Resit</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28.00%</w:t>
            </w:r>
          </w:p>
        </w:tc>
      </w:tr>
      <w:tr w:rsidR="00B8273B" w:rsidRPr="00B8273B" w:rsidTr="00F70E11">
        <w:trPr>
          <w:trHeight w:val="440"/>
        </w:trPr>
        <w:tc>
          <w:tcPr>
            <w:tcW w:w="1500" w:type="dxa"/>
            <w:tcBorders>
              <w:top w:val="nil"/>
              <w:left w:val="single" w:sz="8" w:space="0" w:color="auto"/>
              <w:bottom w:val="single" w:sz="8" w:space="0" w:color="auto"/>
              <w:right w:val="nil"/>
            </w:tcBorders>
            <w:shd w:val="clear" w:color="000000" w:fill="C5D9F1"/>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Total</w:t>
            </w:r>
          </w:p>
        </w:tc>
        <w:tc>
          <w:tcPr>
            <w:tcW w:w="1500" w:type="dxa"/>
            <w:tcBorders>
              <w:top w:val="nil"/>
              <w:left w:val="single" w:sz="8" w:space="0" w:color="auto"/>
              <w:bottom w:val="single" w:sz="8" w:space="0" w:color="auto"/>
              <w:right w:val="single" w:sz="8" w:space="0" w:color="auto"/>
            </w:tcBorders>
            <w:shd w:val="clear" w:color="000000" w:fill="C5D9F1"/>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57.57%</w:t>
            </w:r>
          </w:p>
        </w:tc>
      </w:tr>
    </w:tbl>
    <w:p w:rsidR="00B8273B" w:rsidRDefault="00B8273B" w:rsidP="00E87F05">
      <w:pPr>
        <w:pStyle w:val="ListParagraph"/>
        <w:spacing w:after="0"/>
        <w:ind w:left="709"/>
        <w:rPr>
          <w:rFonts w:ascii="Arial" w:hAnsi="Arial" w:cs="Arial"/>
          <w:b/>
          <w:sz w:val="24"/>
          <w:szCs w:val="24"/>
        </w:rPr>
      </w:pPr>
    </w:p>
    <w:p w:rsidR="001C30D9" w:rsidRPr="00B8273B" w:rsidRDefault="002E756A" w:rsidP="00B8273B">
      <w:pPr>
        <w:pStyle w:val="ListParagraph"/>
        <w:spacing w:after="0"/>
        <w:ind w:left="709"/>
        <w:rPr>
          <w:rFonts w:ascii="Arial" w:hAnsi="Arial" w:cs="Arial"/>
          <w:b/>
          <w:sz w:val="24"/>
          <w:szCs w:val="24"/>
        </w:rPr>
      </w:pPr>
      <w:r w:rsidRPr="00A216FF">
        <w:rPr>
          <w:rFonts w:ascii="Arial" w:hAnsi="Arial" w:cs="Arial"/>
          <w:b/>
          <w:sz w:val="24"/>
          <w:szCs w:val="24"/>
        </w:rPr>
        <w:t>Table 2</w:t>
      </w:r>
      <w:r w:rsidR="00B3238B" w:rsidRPr="00A216FF">
        <w:rPr>
          <w:rFonts w:ascii="Arial" w:hAnsi="Arial" w:cs="Arial"/>
          <w:b/>
          <w:sz w:val="24"/>
          <w:szCs w:val="24"/>
        </w:rPr>
        <w:t>b</w:t>
      </w:r>
      <w:r w:rsidRPr="00A216FF">
        <w:rPr>
          <w:rFonts w:ascii="Arial" w:hAnsi="Arial" w:cs="Arial"/>
          <w:b/>
          <w:sz w:val="24"/>
          <w:szCs w:val="24"/>
        </w:rPr>
        <w:t>: % Accepted claims by semester</w:t>
      </w:r>
      <w:r w:rsidR="007A6820">
        <w:rPr>
          <w:rFonts w:ascii="Arial" w:hAnsi="Arial" w:cs="Arial"/>
          <w:b/>
          <w:sz w:val="24"/>
          <w:szCs w:val="24"/>
        </w:rPr>
        <w:t>/term</w:t>
      </w:r>
    </w:p>
    <w:p w:rsidR="002E756A" w:rsidRPr="00A216FF" w:rsidRDefault="002E756A" w:rsidP="00E87F05">
      <w:pPr>
        <w:pStyle w:val="ListParagraph"/>
        <w:ind w:left="709"/>
        <w:rPr>
          <w:rFonts w:ascii="Arial" w:hAnsi="Arial" w:cs="Arial"/>
          <w:sz w:val="24"/>
          <w:szCs w:val="24"/>
        </w:rPr>
      </w:pPr>
    </w:p>
    <w:p w:rsidR="002E756A" w:rsidRPr="00A216FF" w:rsidRDefault="0068511C" w:rsidP="00E87F05">
      <w:pPr>
        <w:pStyle w:val="ListParagraph"/>
        <w:ind w:left="709"/>
        <w:rPr>
          <w:rFonts w:ascii="Arial" w:hAnsi="Arial" w:cs="Arial"/>
          <w:sz w:val="24"/>
          <w:szCs w:val="24"/>
        </w:rPr>
      </w:pPr>
      <w:r w:rsidRPr="00A216FF">
        <w:rPr>
          <w:rFonts w:ascii="Arial" w:hAnsi="Arial" w:cs="Arial"/>
          <w:sz w:val="24"/>
          <w:szCs w:val="24"/>
        </w:rPr>
        <w:t>Success rates in previous academic years are shown in Chart 2</w:t>
      </w:r>
      <w:r w:rsidR="00B3238B" w:rsidRPr="00A216FF">
        <w:rPr>
          <w:rFonts w:ascii="Arial" w:hAnsi="Arial" w:cs="Arial"/>
          <w:sz w:val="24"/>
          <w:szCs w:val="24"/>
        </w:rPr>
        <w:t>c</w:t>
      </w:r>
      <w:r w:rsidRPr="00A216FF">
        <w:rPr>
          <w:rFonts w:ascii="Arial" w:hAnsi="Arial" w:cs="Arial"/>
          <w:sz w:val="24"/>
          <w:szCs w:val="24"/>
        </w:rPr>
        <w:t xml:space="preserve"> below:</w:t>
      </w:r>
    </w:p>
    <w:p w:rsidR="00AD0AA1" w:rsidRDefault="00AD0AA1" w:rsidP="00E87F05">
      <w:pPr>
        <w:pStyle w:val="ListParagraph"/>
        <w:ind w:left="709"/>
        <w:rPr>
          <w:rFonts w:ascii="Arial" w:hAnsi="Arial" w:cs="Arial"/>
          <w:sz w:val="24"/>
          <w:szCs w:val="24"/>
        </w:rPr>
      </w:pPr>
    </w:p>
    <w:p w:rsidR="00B8273B" w:rsidRDefault="00B8273B" w:rsidP="00E87F05">
      <w:pPr>
        <w:pStyle w:val="ListParagraph"/>
        <w:ind w:left="709"/>
        <w:rPr>
          <w:rFonts w:ascii="Arial" w:hAnsi="Arial" w:cs="Arial"/>
          <w:sz w:val="24"/>
          <w:szCs w:val="24"/>
        </w:rPr>
      </w:pPr>
      <w:r>
        <w:rPr>
          <w:noProof/>
          <w:lang w:eastAsia="en-GB"/>
        </w:rPr>
        <w:drawing>
          <wp:inline distT="0" distB="0" distL="0" distR="0" wp14:anchorId="2726614A" wp14:editId="6940BD43">
            <wp:extent cx="5731510" cy="2414905"/>
            <wp:effectExtent l="0" t="0" r="254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273B" w:rsidRPr="00A216FF" w:rsidRDefault="00B8273B" w:rsidP="00E87F05">
      <w:pPr>
        <w:pStyle w:val="ListParagraph"/>
        <w:ind w:left="709"/>
        <w:rPr>
          <w:rFonts w:ascii="Arial" w:hAnsi="Arial" w:cs="Arial"/>
          <w:sz w:val="24"/>
          <w:szCs w:val="24"/>
        </w:rPr>
      </w:pPr>
    </w:p>
    <w:p w:rsidR="00917DB3" w:rsidRDefault="00AD0AA1" w:rsidP="00E87F05">
      <w:pPr>
        <w:pStyle w:val="ListParagraph"/>
        <w:spacing w:after="0"/>
        <w:ind w:left="709"/>
        <w:rPr>
          <w:rFonts w:ascii="Arial" w:hAnsi="Arial" w:cs="Arial"/>
          <w:b/>
          <w:sz w:val="24"/>
          <w:szCs w:val="24"/>
        </w:rPr>
      </w:pPr>
      <w:r w:rsidRPr="00A216FF">
        <w:rPr>
          <w:rFonts w:ascii="Arial" w:hAnsi="Arial" w:cs="Arial"/>
          <w:b/>
          <w:sz w:val="24"/>
          <w:szCs w:val="24"/>
        </w:rPr>
        <w:t>Chart 2</w:t>
      </w:r>
      <w:r w:rsidR="00B3238B" w:rsidRPr="00A216FF">
        <w:rPr>
          <w:rFonts w:ascii="Arial" w:hAnsi="Arial" w:cs="Arial"/>
          <w:b/>
          <w:sz w:val="24"/>
          <w:szCs w:val="24"/>
        </w:rPr>
        <w:t>c</w:t>
      </w:r>
      <w:r w:rsidRPr="00A216FF">
        <w:rPr>
          <w:rFonts w:ascii="Arial" w:hAnsi="Arial" w:cs="Arial"/>
          <w:b/>
          <w:sz w:val="24"/>
          <w:szCs w:val="24"/>
        </w:rPr>
        <w:t>: % claims accepted annual comparison</w:t>
      </w:r>
    </w:p>
    <w:p w:rsidR="00993938" w:rsidRPr="00A216FF" w:rsidRDefault="00993938" w:rsidP="00E87F05">
      <w:pPr>
        <w:pStyle w:val="ListParagraph"/>
        <w:spacing w:after="0"/>
        <w:ind w:left="709"/>
        <w:rPr>
          <w:rFonts w:ascii="Arial" w:hAnsi="Arial" w:cs="Arial"/>
          <w:b/>
          <w:sz w:val="24"/>
          <w:szCs w:val="24"/>
        </w:rPr>
      </w:pPr>
    </w:p>
    <w:p w:rsidR="002E756A" w:rsidRPr="00A216FF" w:rsidRDefault="002E756A" w:rsidP="00E87F05">
      <w:pPr>
        <w:pStyle w:val="ListParagraph"/>
        <w:ind w:left="0"/>
        <w:rPr>
          <w:rFonts w:ascii="Arial" w:hAnsi="Arial" w:cs="Arial"/>
          <w:sz w:val="24"/>
          <w:szCs w:val="24"/>
        </w:rPr>
      </w:pPr>
    </w:p>
    <w:p w:rsidR="005112D6" w:rsidRPr="00A216FF" w:rsidRDefault="005112D6" w:rsidP="00E87F05">
      <w:pPr>
        <w:pStyle w:val="ListParagraph"/>
        <w:numPr>
          <w:ilvl w:val="0"/>
          <w:numId w:val="1"/>
        </w:numPr>
        <w:ind w:left="0" w:firstLine="0"/>
        <w:rPr>
          <w:rFonts w:ascii="Arial" w:hAnsi="Arial" w:cs="Arial"/>
          <w:b/>
          <w:sz w:val="24"/>
          <w:szCs w:val="24"/>
        </w:rPr>
      </w:pPr>
      <w:r w:rsidRPr="00A216FF">
        <w:rPr>
          <w:rFonts w:ascii="Arial" w:hAnsi="Arial" w:cs="Arial"/>
          <w:b/>
          <w:sz w:val="24"/>
          <w:szCs w:val="24"/>
        </w:rPr>
        <w:t>Feedback for Rejected Claims</w:t>
      </w:r>
    </w:p>
    <w:p w:rsidR="00FD6C98" w:rsidRPr="00A216FF" w:rsidRDefault="0097570C" w:rsidP="00E87F05">
      <w:pPr>
        <w:ind w:left="709" w:hanging="709"/>
        <w:rPr>
          <w:rFonts w:ascii="Arial" w:hAnsi="Arial" w:cs="Arial"/>
          <w:sz w:val="24"/>
          <w:szCs w:val="24"/>
        </w:rPr>
      </w:pPr>
      <w:r w:rsidRPr="00A216FF">
        <w:rPr>
          <w:rFonts w:ascii="Arial" w:hAnsi="Arial" w:cs="Arial"/>
          <w:sz w:val="24"/>
          <w:szCs w:val="24"/>
        </w:rPr>
        <w:t>3.1</w:t>
      </w:r>
      <w:r w:rsidRPr="00A216FF">
        <w:rPr>
          <w:rFonts w:ascii="Arial" w:hAnsi="Arial" w:cs="Arial"/>
          <w:sz w:val="24"/>
          <w:szCs w:val="24"/>
        </w:rPr>
        <w:tab/>
      </w:r>
      <w:r w:rsidR="00FD6C98" w:rsidRPr="00A216FF">
        <w:rPr>
          <w:rFonts w:ascii="Arial" w:hAnsi="Arial" w:cs="Arial"/>
          <w:sz w:val="24"/>
          <w:szCs w:val="24"/>
        </w:rPr>
        <w:t xml:space="preserve">In </w:t>
      </w:r>
      <w:r w:rsidR="00323724">
        <w:rPr>
          <w:rFonts w:ascii="Arial" w:hAnsi="Arial" w:cs="Arial"/>
          <w:sz w:val="24"/>
          <w:szCs w:val="24"/>
        </w:rPr>
        <w:t>2011/1</w:t>
      </w:r>
      <w:r w:rsidR="00993A6B" w:rsidRPr="00A216FF">
        <w:rPr>
          <w:rFonts w:ascii="Arial" w:hAnsi="Arial" w:cs="Arial"/>
          <w:sz w:val="24"/>
          <w:szCs w:val="24"/>
        </w:rPr>
        <w:t>2</w:t>
      </w:r>
      <w:r w:rsidR="00323724">
        <w:rPr>
          <w:rFonts w:ascii="Arial" w:hAnsi="Arial" w:cs="Arial"/>
          <w:sz w:val="24"/>
          <w:szCs w:val="24"/>
        </w:rPr>
        <w:t xml:space="preserve"> a mechanism was introduced which gave</w:t>
      </w:r>
      <w:r w:rsidR="00FD6C98" w:rsidRPr="00A216FF">
        <w:rPr>
          <w:rFonts w:ascii="Arial" w:hAnsi="Arial" w:cs="Arial"/>
          <w:sz w:val="24"/>
          <w:szCs w:val="24"/>
        </w:rPr>
        <w:t xml:space="preserve"> students a generic feedback code </w:t>
      </w:r>
      <w:r w:rsidR="00323724">
        <w:rPr>
          <w:rFonts w:ascii="Arial" w:hAnsi="Arial" w:cs="Arial"/>
          <w:sz w:val="24"/>
          <w:szCs w:val="24"/>
        </w:rPr>
        <w:t xml:space="preserve">for rejected claims.  Prior to 2011/12, students did not receive any official feedback on their </w:t>
      </w:r>
      <w:r w:rsidR="00FD6C98" w:rsidRPr="00A216FF">
        <w:rPr>
          <w:rFonts w:ascii="Arial" w:hAnsi="Arial" w:cs="Arial"/>
          <w:sz w:val="24"/>
          <w:szCs w:val="24"/>
        </w:rPr>
        <w:t>claims, although</w:t>
      </w:r>
      <w:r w:rsidR="00323724">
        <w:rPr>
          <w:rFonts w:ascii="Arial" w:hAnsi="Arial" w:cs="Arial"/>
          <w:sz w:val="24"/>
          <w:szCs w:val="24"/>
        </w:rPr>
        <w:t xml:space="preserve"> </w:t>
      </w:r>
      <w:r w:rsidR="00F5754C" w:rsidRPr="00A216FF">
        <w:rPr>
          <w:rFonts w:ascii="Arial" w:hAnsi="Arial" w:cs="Arial"/>
          <w:sz w:val="24"/>
          <w:szCs w:val="24"/>
        </w:rPr>
        <w:t>student</w:t>
      </w:r>
      <w:r w:rsidR="001E7226" w:rsidRPr="00A216FF">
        <w:rPr>
          <w:rFonts w:ascii="Arial" w:hAnsi="Arial" w:cs="Arial"/>
          <w:sz w:val="24"/>
          <w:szCs w:val="24"/>
        </w:rPr>
        <w:t>s</w:t>
      </w:r>
      <w:r w:rsidR="00F5754C" w:rsidRPr="00A216FF">
        <w:rPr>
          <w:rFonts w:ascii="Arial" w:hAnsi="Arial" w:cs="Arial"/>
          <w:sz w:val="24"/>
          <w:szCs w:val="24"/>
        </w:rPr>
        <w:t xml:space="preserve"> </w:t>
      </w:r>
      <w:r w:rsidR="00323724">
        <w:rPr>
          <w:rFonts w:ascii="Arial" w:hAnsi="Arial" w:cs="Arial"/>
          <w:sz w:val="24"/>
          <w:szCs w:val="24"/>
        </w:rPr>
        <w:t xml:space="preserve">could </w:t>
      </w:r>
      <w:r w:rsidR="004D6FF7" w:rsidRPr="00A216FF">
        <w:rPr>
          <w:rFonts w:ascii="Arial" w:hAnsi="Arial" w:cs="Arial"/>
          <w:sz w:val="24"/>
          <w:szCs w:val="24"/>
        </w:rPr>
        <w:t>seek</w:t>
      </w:r>
      <w:r w:rsidR="00FD6C98" w:rsidRPr="00A216FF">
        <w:rPr>
          <w:rFonts w:ascii="Arial" w:hAnsi="Arial" w:cs="Arial"/>
          <w:sz w:val="24"/>
          <w:szCs w:val="24"/>
        </w:rPr>
        <w:t xml:space="preserve"> feedback </w:t>
      </w:r>
      <w:r w:rsidR="004D6FF7" w:rsidRPr="00A216FF">
        <w:rPr>
          <w:rFonts w:ascii="Arial" w:hAnsi="Arial" w:cs="Arial"/>
          <w:sz w:val="24"/>
          <w:szCs w:val="24"/>
        </w:rPr>
        <w:t xml:space="preserve">from </w:t>
      </w:r>
      <w:r w:rsidR="00323724">
        <w:rPr>
          <w:rFonts w:ascii="Arial" w:hAnsi="Arial" w:cs="Arial"/>
          <w:sz w:val="24"/>
          <w:szCs w:val="24"/>
        </w:rPr>
        <w:t>UELSU on their individual claims.</w:t>
      </w:r>
    </w:p>
    <w:p w:rsidR="008E48A4" w:rsidRDefault="008E48A4" w:rsidP="00E87F05">
      <w:pPr>
        <w:ind w:left="709"/>
        <w:rPr>
          <w:rFonts w:ascii="Arial" w:hAnsi="Arial" w:cs="Arial"/>
          <w:sz w:val="24"/>
          <w:szCs w:val="24"/>
        </w:rPr>
      </w:pPr>
      <w:r w:rsidRPr="00A216FF">
        <w:rPr>
          <w:rFonts w:ascii="Arial" w:hAnsi="Arial" w:cs="Arial"/>
          <w:sz w:val="24"/>
          <w:szCs w:val="24"/>
        </w:rPr>
        <w:t xml:space="preserve">Of </w:t>
      </w:r>
      <w:r w:rsidR="001E7226" w:rsidRPr="00A216FF">
        <w:rPr>
          <w:rFonts w:ascii="Arial" w:hAnsi="Arial" w:cs="Arial"/>
          <w:sz w:val="24"/>
          <w:szCs w:val="24"/>
        </w:rPr>
        <w:t xml:space="preserve">the </w:t>
      </w:r>
      <w:r w:rsidRPr="00A216FF">
        <w:rPr>
          <w:rFonts w:ascii="Arial" w:hAnsi="Arial" w:cs="Arial"/>
          <w:sz w:val="24"/>
          <w:szCs w:val="24"/>
        </w:rPr>
        <w:t xml:space="preserve">claims which were rejected, the breakdown of feedback codes was as </w:t>
      </w:r>
      <w:r w:rsidR="00612903">
        <w:rPr>
          <w:rFonts w:ascii="Arial" w:hAnsi="Arial" w:cs="Arial"/>
          <w:sz w:val="24"/>
          <w:szCs w:val="24"/>
        </w:rPr>
        <w:t xml:space="preserve">stated in Table 3a </w:t>
      </w:r>
      <w:r w:rsidR="00E92838">
        <w:rPr>
          <w:rFonts w:ascii="Arial" w:hAnsi="Arial" w:cs="Arial"/>
          <w:sz w:val="24"/>
          <w:szCs w:val="24"/>
        </w:rPr>
        <w:t>overleaf</w:t>
      </w:r>
      <w:r w:rsidR="00516630">
        <w:rPr>
          <w:rFonts w:ascii="Arial" w:hAnsi="Arial" w:cs="Arial"/>
          <w:sz w:val="24"/>
          <w:szCs w:val="24"/>
        </w:rPr>
        <w:t>.</w:t>
      </w:r>
    </w:p>
    <w:p w:rsidR="00E92838" w:rsidRDefault="00E92838" w:rsidP="00E87F05">
      <w:pPr>
        <w:ind w:left="709"/>
        <w:rPr>
          <w:rFonts w:ascii="Arial" w:hAnsi="Arial" w:cs="Arial"/>
          <w:sz w:val="24"/>
          <w:szCs w:val="24"/>
        </w:rPr>
      </w:pPr>
    </w:p>
    <w:p w:rsidR="00E92838" w:rsidRDefault="00E92838" w:rsidP="00E87F05">
      <w:pPr>
        <w:ind w:left="709"/>
        <w:rPr>
          <w:rFonts w:ascii="Arial" w:hAnsi="Arial" w:cs="Arial"/>
          <w:sz w:val="24"/>
          <w:szCs w:val="24"/>
        </w:rPr>
      </w:pPr>
    </w:p>
    <w:p w:rsidR="00E92838" w:rsidRDefault="00E92838" w:rsidP="00E87F05">
      <w:pPr>
        <w:ind w:left="709"/>
        <w:rPr>
          <w:rFonts w:ascii="Arial" w:hAnsi="Arial" w:cs="Arial"/>
          <w:sz w:val="24"/>
          <w:szCs w:val="24"/>
        </w:rPr>
      </w:pPr>
    </w:p>
    <w:p w:rsidR="00E92838" w:rsidRDefault="00E92838" w:rsidP="00E87F05">
      <w:pPr>
        <w:ind w:left="709"/>
        <w:rPr>
          <w:rFonts w:ascii="Arial" w:hAnsi="Arial" w:cs="Arial"/>
          <w:sz w:val="24"/>
          <w:szCs w:val="24"/>
        </w:rPr>
      </w:pPr>
    </w:p>
    <w:tbl>
      <w:tblPr>
        <w:tblW w:w="7140" w:type="dxa"/>
        <w:tblInd w:w="928" w:type="dxa"/>
        <w:tblLook w:val="04A0" w:firstRow="1" w:lastRow="0" w:firstColumn="1" w:lastColumn="0" w:noHBand="0" w:noVBand="1"/>
      </w:tblPr>
      <w:tblGrid>
        <w:gridCol w:w="3000"/>
        <w:gridCol w:w="1080"/>
        <w:gridCol w:w="1020"/>
        <w:gridCol w:w="1020"/>
        <w:gridCol w:w="1020"/>
      </w:tblGrid>
      <w:tr w:rsidR="00B8273B" w:rsidRPr="00B8273B" w:rsidTr="001226FD">
        <w:trPr>
          <w:trHeight w:val="300"/>
        </w:trPr>
        <w:tc>
          <w:tcPr>
            <w:tcW w:w="3000" w:type="dxa"/>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lastRenderedPageBreak/>
              <w:t>Feedback Code</w:t>
            </w:r>
          </w:p>
        </w:tc>
        <w:tc>
          <w:tcPr>
            <w:tcW w:w="1080" w:type="dxa"/>
            <w:tcBorders>
              <w:top w:val="single" w:sz="8" w:space="0" w:color="auto"/>
              <w:left w:val="nil"/>
              <w:bottom w:val="single" w:sz="8" w:space="0" w:color="auto"/>
              <w:right w:val="single" w:sz="8" w:space="0" w:color="auto"/>
            </w:tcBorders>
            <w:shd w:val="clear" w:color="000000" w:fill="C5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proofErr w:type="spellStart"/>
            <w:r w:rsidRPr="00B8273B">
              <w:rPr>
                <w:rFonts w:ascii="Calibri" w:eastAsia="Times New Roman" w:hAnsi="Calibri" w:cs="Times New Roman"/>
                <w:b/>
                <w:bCs/>
                <w:color w:val="000000"/>
                <w:lang w:eastAsia="en-GB"/>
              </w:rPr>
              <w:t>Sem</w:t>
            </w:r>
            <w:proofErr w:type="spellEnd"/>
            <w:r w:rsidRPr="00B8273B">
              <w:rPr>
                <w:rFonts w:ascii="Calibri" w:eastAsia="Times New Roman" w:hAnsi="Calibri" w:cs="Times New Roman"/>
                <w:b/>
                <w:bCs/>
                <w:color w:val="000000"/>
                <w:lang w:eastAsia="en-GB"/>
              </w:rPr>
              <w:t xml:space="preserve"> A</w:t>
            </w:r>
          </w:p>
        </w:tc>
        <w:tc>
          <w:tcPr>
            <w:tcW w:w="1020" w:type="dxa"/>
            <w:tcBorders>
              <w:top w:val="single" w:sz="8" w:space="0" w:color="auto"/>
              <w:left w:val="nil"/>
              <w:bottom w:val="single" w:sz="8" w:space="0" w:color="auto"/>
              <w:right w:val="single" w:sz="8" w:space="0" w:color="auto"/>
            </w:tcBorders>
            <w:shd w:val="clear" w:color="000000" w:fill="C5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proofErr w:type="spellStart"/>
            <w:r w:rsidRPr="00B8273B">
              <w:rPr>
                <w:rFonts w:ascii="Calibri" w:eastAsia="Times New Roman" w:hAnsi="Calibri" w:cs="Times New Roman"/>
                <w:b/>
                <w:bCs/>
                <w:color w:val="000000"/>
                <w:lang w:eastAsia="en-GB"/>
              </w:rPr>
              <w:t>Sem</w:t>
            </w:r>
            <w:proofErr w:type="spellEnd"/>
            <w:r w:rsidRPr="00B8273B">
              <w:rPr>
                <w:rFonts w:ascii="Calibri" w:eastAsia="Times New Roman" w:hAnsi="Calibri" w:cs="Times New Roman"/>
                <w:b/>
                <w:bCs/>
                <w:color w:val="000000"/>
                <w:lang w:eastAsia="en-GB"/>
              </w:rPr>
              <w:t xml:space="preserve"> B</w:t>
            </w:r>
          </w:p>
        </w:tc>
        <w:tc>
          <w:tcPr>
            <w:tcW w:w="1020" w:type="dxa"/>
            <w:tcBorders>
              <w:top w:val="single" w:sz="8" w:space="0" w:color="auto"/>
              <w:left w:val="nil"/>
              <w:bottom w:val="single" w:sz="8" w:space="0" w:color="auto"/>
              <w:right w:val="single" w:sz="8" w:space="0" w:color="auto"/>
            </w:tcBorders>
            <w:shd w:val="clear" w:color="000000" w:fill="C5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proofErr w:type="spellStart"/>
            <w:r w:rsidRPr="00B8273B">
              <w:rPr>
                <w:rFonts w:ascii="Calibri" w:eastAsia="Times New Roman" w:hAnsi="Calibri" w:cs="Times New Roman"/>
                <w:b/>
                <w:bCs/>
                <w:color w:val="000000"/>
                <w:lang w:eastAsia="en-GB"/>
              </w:rPr>
              <w:t>Sem</w:t>
            </w:r>
            <w:proofErr w:type="spellEnd"/>
            <w:r w:rsidRPr="00B8273B">
              <w:rPr>
                <w:rFonts w:ascii="Calibri" w:eastAsia="Times New Roman" w:hAnsi="Calibri" w:cs="Times New Roman"/>
                <w:b/>
                <w:bCs/>
                <w:color w:val="000000"/>
                <w:lang w:eastAsia="en-GB"/>
              </w:rPr>
              <w:t xml:space="preserve"> R</w:t>
            </w:r>
          </w:p>
        </w:tc>
        <w:tc>
          <w:tcPr>
            <w:tcW w:w="1020" w:type="dxa"/>
            <w:tcBorders>
              <w:top w:val="single" w:sz="8" w:space="0" w:color="auto"/>
              <w:left w:val="nil"/>
              <w:bottom w:val="single" w:sz="8" w:space="0" w:color="auto"/>
              <w:right w:val="single" w:sz="8" w:space="0" w:color="auto"/>
            </w:tcBorders>
            <w:shd w:val="clear" w:color="000000" w:fill="C5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Total</w:t>
            </w:r>
          </w:p>
        </w:tc>
      </w:tr>
      <w:tr w:rsidR="00B8273B" w:rsidRPr="00B8273B" w:rsidTr="001226FD">
        <w:trPr>
          <w:trHeight w:val="290"/>
        </w:trPr>
        <w:tc>
          <w:tcPr>
            <w:tcW w:w="3000" w:type="dxa"/>
            <w:tcBorders>
              <w:top w:val="single" w:sz="8" w:space="0" w:color="auto"/>
              <w:left w:val="single" w:sz="8" w:space="0" w:color="auto"/>
              <w:bottom w:val="nil"/>
              <w:right w:val="single" w:sz="8" w:space="0" w:color="000000"/>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R1 - module capped</w:t>
            </w:r>
          </w:p>
        </w:tc>
        <w:tc>
          <w:tcPr>
            <w:tcW w:w="108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3</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15</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3</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21</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R2 - fourth attempt</w:t>
            </w:r>
          </w:p>
        </w:tc>
        <w:tc>
          <w:tcPr>
            <w:tcW w:w="108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0</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R3 - coursework on time</w:t>
            </w:r>
          </w:p>
        </w:tc>
        <w:tc>
          <w:tcPr>
            <w:tcW w:w="108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26</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20</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4</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47</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000000" w:fill="C6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R4 - failed another component</w:t>
            </w:r>
          </w:p>
        </w:tc>
        <w:tc>
          <w:tcPr>
            <w:tcW w:w="108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2</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RC - did not meet criteria</w:t>
            </w:r>
          </w:p>
        </w:tc>
        <w:tc>
          <w:tcPr>
            <w:tcW w:w="108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18</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16</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14</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48</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000000" w:fill="C6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RE - evidence insufficient</w:t>
            </w:r>
          </w:p>
        </w:tc>
        <w:tc>
          <w:tcPr>
            <w:tcW w:w="108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121</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284</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82</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487</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RL - late without good reason</w:t>
            </w:r>
          </w:p>
        </w:tc>
        <w:tc>
          <w:tcPr>
            <w:tcW w:w="108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7</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5</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12</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000000" w:fill="C6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RM - multiple</w:t>
            </w:r>
          </w:p>
        </w:tc>
        <w:tc>
          <w:tcPr>
            <w:tcW w:w="108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4</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18</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nil"/>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22</w:t>
            </w:r>
          </w:p>
        </w:tc>
      </w:tr>
      <w:tr w:rsidR="00B8273B" w:rsidRPr="00B8273B" w:rsidTr="001226FD">
        <w:trPr>
          <w:trHeight w:val="290"/>
        </w:trPr>
        <w:tc>
          <w:tcPr>
            <w:tcW w:w="3000" w:type="dxa"/>
            <w:tcBorders>
              <w:top w:val="nil"/>
              <w:left w:val="single" w:sz="8" w:space="0" w:color="auto"/>
              <w:bottom w:val="nil"/>
              <w:right w:val="single" w:sz="8" w:space="0" w:color="000000"/>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RN - not extenuation</w:t>
            </w:r>
          </w:p>
        </w:tc>
        <w:tc>
          <w:tcPr>
            <w:tcW w:w="108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26</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30</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5</w:t>
            </w:r>
          </w:p>
        </w:tc>
        <w:tc>
          <w:tcPr>
            <w:tcW w:w="1020" w:type="dxa"/>
            <w:tcBorders>
              <w:top w:val="nil"/>
              <w:left w:val="nil"/>
              <w:bottom w:val="nil"/>
              <w:right w:val="single" w:sz="8" w:space="0" w:color="auto"/>
            </w:tcBorders>
            <w:shd w:val="clear" w:color="auto" w:fill="auto"/>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61</w:t>
            </w:r>
          </w:p>
        </w:tc>
      </w:tr>
      <w:tr w:rsidR="00B8273B" w:rsidRPr="00B8273B" w:rsidTr="001226FD">
        <w:trPr>
          <w:trHeight w:val="300"/>
        </w:trPr>
        <w:tc>
          <w:tcPr>
            <w:tcW w:w="3000" w:type="dxa"/>
            <w:tcBorders>
              <w:top w:val="nil"/>
              <w:left w:val="single" w:sz="8" w:space="0" w:color="auto"/>
              <w:bottom w:val="single" w:sz="8" w:space="0" w:color="auto"/>
              <w:right w:val="single" w:sz="8" w:space="0" w:color="000000"/>
            </w:tcBorders>
            <w:shd w:val="clear" w:color="000000" w:fill="C6D9F1"/>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B - failed evidence check</w:t>
            </w:r>
          </w:p>
        </w:tc>
        <w:tc>
          <w:tcPr>
            <w:tcW w:w="1080" w:type="dxa"/>
            <w:tcBorders>
              <w:top w:val="nil"/>
              <w:left w:val="nil"/>
              <w:bottom w:val="single" w:sz="8" w:space="0" w:color="auto"/>
              <w:right w:val="single" w:sz="8" w:space="0" w:color="auto"/>
            </w:tcBorders>
            <w:shd w:val="clear" w:color="000000" w:fill="C6D9F1"/>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0</w:t>
            </w:r>
          </w:p>
        </w:tc>
        <w:tc>
          <w:tcPr>
            <w:tcW w:w="1020" w:type="dxa"/>
            <w:tcBorders>
              <w:top w:val="nil"/>
              <w:left w:val="nil"/>
              <w:bottom w:val="single" w:sz="8" w:space="0" w:color="auto"/>
              <w:right w:val="single" w:sz="8" w:space="0" w:color="auto"/>
            </w:tcBorders>
            <w:shd w:val="clear" w:color="000000" w:fill="C6D9F1"/>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3</w:t>
            </w:r>
          </w:p>
        </w:tc>
        <w:tc>
          <w:tcPr>
            <w:tcW w:w="1020" w:type="dxa"/>
            <w:tcBorders>
              <w:top w:val="nil"/>
              <w:left w:val="nil"/>
              <w:bottom w:val="single" w:sz="8" w:space="0" w:color="auto"/>
              <w:right w:val="single" w:sz="8" w:space="0" w:color="auto"/>
            </w:tcBorders>
            <w:shd w:val="clear" w:color="000000" w:fill="C6D9F1"/>
            <w:noWrap/>
            <w:vAlign w:val="center"/>
            <w:hideMark/>
          </w:tcPr>
          <w:p w:rsidR="00B8273B" w:rsidRPr="00B8273B" w:rsidRDefault="00B8273B" w:rsidP="00B8273B">
            <w:pPr>
              <w:spacing w:after="0" w:line="240" w:lineRule="auto"/>
              <w:jc w:val="center"/>
              <w:rPr>
                <w:rFonts w:ascii="Calibri" w:eastAsia="Times New Roman" w:hAnsi="Calibri" w:cs="Times New Roman"/>
                <w:color w:val="000000"/>
                <w:lang w:eastAsia="en-GB"/>
              </w:rPr>
            </w:pPr>
            <w:r w:rsidRPr="00B8273B">
              <w:rPr>
                <w:rFonts w:ascii="Calibri" w:eastAsia="Times New Roman" w:hAnsi="Calibri" w:cs="Times New Roman"/>
                <w:color w:val="000000"/>
                <w:lang w:eastAsia="en-GB"/>
              </w:rPr>
              <w:t>1</w:t>
            </w:r>
          </w:p>
        </w:tc>
        <w:tc>
          <w:tcPr>
            <w:tcW w:w="1020" w:type="dxa"/>
            <w:tcBorders>
              <w:top w:val="nil"/>
              <w:left w:val="nil"/>
              <w:bottom w:val="single" w:sz="8" w:space="0" w:color="auto"/>
              <w:right w:val="single" w:sz="8" w:space="0" w:color="auto"/>
            </w:tcBorders>
            <w:shd w:val="clear" w:color="000000" w:fill="BDD7EE"/>
            <w:noWrap/>
            <w:vAlign w:val="center"/>
            <w:hideMark/>
          </w:tcPr>
          <w:p w:rsidR="00B8273B" w:rsidRPr="00B8273B" w:rsidRDefault="00B8273B" w:rsidP="00B8273B">
            <w:pPr>
              <w:spacing w:after="0" w:line="240" w:lineRule="auto"/>
              <w:jc w:val="center"/>
              <w:rPr>
                <w:rFonts w:ascii="Calibri" w:eastAsia="Times New Roman" w:hAnsi="Calibri" w:cs="Times New Roman"/>
                <w:b/>
                <w:bCs/>
                <w:color w:val="000000"/>
                <w:lang w:eastAsia="en-GB"/>
              </w:rPr>
            </w:pPr>
            <w:r w:rsidRPr="00B8273B">
              <w:rPr>
                <w:rFonts w:ascii="Calibri" w:eastAsia="Times New Roman" w:hAnsi="Calibri" w:cs="Times New Roman"/>
                <w:b/>
                <w:bCs/>
                <w:color w:val="000000"/>
                <w:lang w:eastAsia="en-GB"/>
              </w:rPr>
              <w:t>4</w:t>
            </w:r>
          </w:p>
        </w:tc>
      </w:tr>
    </w:tbl>
    <w:p w:rsidR="001226FD" w:rsidRDefault="001226FD" w:rsidP="00E87F05">
      <w:pPr>
        <w:spacing w:after="0"/>
        <w:ind w:left="709"/>
        <w:rPr>
          <w:rFonts w:ascii="Arial" w:hAnsi="Arial" w:cs="Arial"/>
          <w:sz w:val="24"/>
          <w:szCs w:val="24"/>
        </w:rPr>
      </w:pPr>
    </w:p>
    <w:p w:rsidR="007A6820" w:rsidRPr="00E92838" w:rsidRDefault="003516FD" w:rsidP="00E92838">
      <w:pPr>
        <w:spacing w:after="0"/>
        <w:ind w:left="709"/>
        <w:rPr>
          <w:rFonts w:ascii="Arial" w:hAnsi="Arial" w:cs="Arial"/>
          <w:b/>
          <w:sz w:val="24"/>
          <w:szCs w:val="24"/>
        </w:rPr>
      </w:pPr>
      <w:r>
        <w:rPr>
          <w:rFonts w:ascii="Arial" w:hAnsi="Arial" w:cs="Arial"/>
          <w:b/>
          <w:sz w:val="24"/>
          <w:szCs w:val="24"/>
        </w:rPr>
        <w:t xml:space="preserve">Table 3a: </w:t>
      </w:r>
      <w:r w:rsidR="001E7226" w:rsidRPr="00A216FF">
        <w:rPr>
          <w:rFonts w:ascii="Arial" w:hAnsi="Arial" w:cs="Arial"/>
          <w:b/>
          <w:sz w:val="24"/>
          <w:szCs w:val="24"/>
        </w:rPr>
        <w:t>Reasons for rejection</w:t>
      </w:r>
      <w:r w:rsidR="00E92838">
        <w:rPr>
          <w:rFonts w:ascii="Arial" w:hAnsi="Arial" w:cs="Arial"/>
          <w:b/>
          <w:sz w:val="24"/>
          <w:szCs w:val="24"/>
        </w:rPr>
        <w:br/>
      </w:r>
    </w:p>
    <w:p w:rsidR="009870BC" w:rsidRDefault="009870BC" w:rsidP="00E87F05">
      <w:pPr>
        <w:ind w:left="709"/>
        <w:rPr>
          <w:rFonts w:ascii="Arial" w:hAnsi="Arial" w:cs="Arial"/>
          <w:sz w:val="24"/>
          <w:szCs w:val="24"/>
        </w:rPr>
      </w:pPr>
      <w:r w:rsidRPr="00A216FF">
        <w:rPr>
          <w:rFonts w:ascii="Arial" w:hAnsi="Arial" w:cs="Arial"/>
          <w:sz w:val="24"/>
          <w:szCs w:val="24"/>
        </w:rPr>
        <w:t xml:space="preserve">The </w:t>
      </w:r>
      <w:r w:rsidR="00853DEB" w:rsidRPr="00A216FF">
        <w:rPr>
          <w:rFonts w:ascii="Arial" w:hAnsi="Arial" w:cs="Arial"/>
          <w:sz w:val="24"/>
          <w:szCs w:val="24"/>
        </w:rPr>
        <w:t>largest category of rejected claims occurred where</w:t>
      </w:r>
      <w:r w:rsidRPr="00A216FF">
        <w:rPr>
          <w:rFonts w:ascii="Arial" w:hAnsi="Arial" w:cs="Arial"/>
          <w:sz w:val="24"/>
          <w:szCs w:val="24"/>
        </w:rPr>
        <w:t xml:space="preserve"> students</w:t>
      </w:r>
      <w:r w:rsidR="00853DEB" w:rsidRPr="00A216FF">
        <w:rPr>
          <w:rFonts w:ascii="Arial" w:hAnsi="Arial" w:cs="Arial"/>
          <w:sz w:val="24"/>
          <w:szCs w:val="24"/>
        </w:rPr>
        <w:t xml:space="preserve"> </w:t>
      </w:r>
      <w:r w:rsidRPr="00A216FF">
        <w:rPr>
          <w:rFonts w:ascii="Arial" w:hAnsi="Arial" w:cs="Arial"/>
          <w:sz w:val="24"/>
          <w:szCs w:val="24"/>
        </w:rPr>
        <w:t>had failed to supply adequate evidence for their claim</w:t>
      </w:r>
      <w:r w:rsidR="00747F3B" w:rsidRPr="00A216FF">
        <w:rPr>
          <w:rFonts w:ascii="Arial" w:hAnsi="Arial" w:cs="Arial"/>
          <w:sz w:val="24"/>
          <w:szCs w:val="24"/>
        </w:rPr>
        <w:t>/s</w:t>
      </w:r>
      <w:r w:rsidR="009326A0">
        <w:rPr>
          <w:rFonts w:ascii="Arial" w:hAnsi="Arial" w:cs="Arial"/>
          <w:sz w:val="24"/>
          <w:szCs w:val="24"/>
        </w:rPr>
        <w:t xml:space="preserve">.  The number of </w:t>
      </w:r>
      <w:r w:rsidRPr="00A216FF">
        <w:rPr>
          <w:rFonts w:ascii="Arial" w:hAnsi="Arial" w:cs="Arial"/>
          <w:sz w:val="24"/>
          <w:szCs w:val="24"/>
        </w:rPr>
        <w:t xml:space="preserve">technical rejects </w:t>
      </w:r>
      <w:r w:rsidR="003516FD">
        <w:rPr>
          <w:rFonts w:ascii="Arial" w:hAnsi="Arial" w:cs="Arial"/>
          <w:sz w:val="24"/>
          <w:szCs w:val="24"/>
        </w:rPr>
        <w:t xml:space="preserve">(codes R1 – R4), </w:t>
      </w:r>
      <w:r w:rsidR="009326A0">
        <w:rPr>
          <w:rFonts w:ascii="Arial" w:hAnsi="Arial" w:cs="Arial"/>
          <w:sz w:val="24"/>
          <w:szCs w:val="24"/>
        </w:rPr>
        <w:t>substantially reduced (some to zero) due to the changes in the UG regulations, which from September 2014 allows students to claim for components that are capped and also applies the capping to the component and not the module.</w:t>
      </w:r>
    </w:p>
    <w:p w:rsidR="0075010E" w:rsidRPr="00A216FF" w:rsidRDefault="007A6820" w:rsidP="00E87F05">
      <w:pPr>
        <w:ind w:left="709"/>
        <w:rPr>
          <w:rFonts w:ascii="Arial" w:hAnsi="Arial" w:cs="Arial"/>
          <w:sz w:val="24"/>
          <w:szCs w:val="24"/>
        </w:rPr>
      </w:pPr>
      <w:r>
        <w:rPr>
          <w:rFonts w:ascii="Arial" w:hAnsi="Arial" w:cs="Arial"/>
          <w:sz w:val="24"/>
          <w:szCs w:val="24"/>
        </w:rPr>
        <w:t>There were 4</w:t>
      </w:r>
      <w:r w:rsidR="0075010E">
        <w:rPr>
          <w:rFonts w:ascii="Arial" w:hAnsi="Arial" w:cs="Arial"/>
          <w:sz w:val="24"/>
          <w:szCs w:val="24"/>
        </w:rPr>
        <w:t xml:space="preserve"> </w:t>
      </w:r>
      <w:r w:rsidR="009326A0">
        <w:rPr>
          <w:rFonts w:ascii="Arial" w:hAnsi="Arial" w:cs="Arial"/>
          <w:sz w:val="24"/>
          <w:szCs w:val="24"/>
        </w:rPr>
        <w:t>co</w:t>
      </w:r>
      <w:r w:rsidR="00996A29">
        <w:rPr>
          <w:rFonts w:ascii="Arial" w:hAnsi="Arial" w:cs="Arial"/>
          <w:sz w:val="24"/>
          <w:szCs w:val="24"/>
        </w:rPr>
        <w:t xml:space="preserve">mponent </w:t>
      </w:r>
      <w:r w:rsidR="0075010E">
        <w:rPr>
          <w:rFonts w:ascii="Arial" w:hAnsi="Arial" w:cs="Arial"/>
          <w:sz w:val="24"/>
          <w:szCs w:val="24"/>
        </w:rPr>
        <w:t xml:space="preserve">claims </w:t>
      </w:r>
      <w:r w:rsidR="008C1E7A">
        <w:rPr>
          <w:rFonts w:ascii="Arial" w:hAnsi="Arial" w:cs="Arial"/>
          <w:sz w:val="24"/>
          <w:szCs w:val="24"/>
        </w:rPr>
        <w:t xml:space="preserve">across the </w:t>
      </w:r>
      <w:r>
        <w:rPr>
          <w:rFonts w:ascii="Arial" w:hAnsi="Arial" w:cs="Arial"/>
          <w:sz w:val="24"/>
          <w:szCs w:val="24"/>
        </w:rPr>
        <w:t>2014-15</w:t>
      </w:r>
      <w:r w:rsidR="008C1E7A">
        <w:rPr>
          <w:rFonts w:ascii="Arial" w:hAnsi="Arial" w:cs="Arial"/>
          <w:sz w:val="24"/>
          <w:szCs w:val="24"/>
        </w:rPr>
        <w:t xml:space="preserve"> Academic Year </w:t>
      </w:r>
      <w:r w:rsidR="0075010E">
        <w:rPr>
          <w:rFonts w:ascii="Arial" w:hAnsi="Arial" w:cs="Arial"/>
          <w:sz w:val="24"/>
          <w:szCs w:val="24"/>
        </w:rPr>
        <w:t xml:space="preserve">where the </w:t>
      </w:r>
      <w:r w:rsidR="001D5F36">
        <w:rPr>
          <w:rFonts w:ascii="Arial" w:hAnsi="Arial" w:cs="Arial"/>
          <w:sz w:val="24"/>
          <w:szCs w:val="24"/>
        </w:rPr>
        <w:t>evidence submitted was deemed</w:t>
      </w:r>
      <w:r w:rsidR="0075010E">
        <w:rPr>
          <w:rFonts w:ascii="Arial" w:hAnsi="Arial" w:cs="Arial"/>
          <w:sz w:val="24"/>
          <w:szCs w:val="24"/>
        </w:rPr>
        <w:t xml:space="preserve"> not</w:t>
      </w:r>
      <w:r w:rsidR="001D5F36">
        <w:rPr>
          <w:rFonts w:ascii="Arial" w:hAnsi="Arial" w:cs="Arial"/>
          <w:sz w:val="24"/>
          <w:szCs w:val="24"/>
        </w:rPr>
        <w:t xml:space="preserve"> to be</w:t>
      </w:r>
      <w:r w:rsidR="0075010E">
        <w:rPr>
          <w:rFonts w:ascii="Arial" w:hAnsi="Arial" w:cs="Arial"/>
          <w:sz w:val="24"/>
          <w:szCs w:val="24"/>
        </w:rPr>
        <w:t xml:space="preserve"> genuine. </w:t>
      </w:r>
    </w:p>
    <w:p w:rsidR="00FD6C98" w:rsidRPr="00A216FF" w:rsidRDefault="00A47274" w:rsidP="00E87F05">
      <w:pPr>
        <w:ind w:left="709"/>
        <w:rPr>
          <w:rFonts w:ascii="Arial" w:hAnsi="Arial" w:cs="Arial"/>
          <w:sz w:val="24"/>
          <w:szCs w:val="24"/>
        </w:rPr>
      </w:pPr>
      <w:r w:rsidRPr="00A216FF">
        <w:rPr>
          <w:rFonts w:ascii="Arial" w:hAnsi="Arial" w:cs="Arial"/>
          <w:sz w:val="24"/>
          <w:szCs w:val="24"/>
        </w:rPr>
        <w:t xml:space="preserve">A more detailed explanation of the feedback codes can be found on the extenuation website, </w:t>
      </w:r>
      <w:hyperlink r:id="rId12" w:history="1">
        <w:r w:rsidRPr="00A216FF">
          <w:rPr>
            <w:rStyle w:val="Hyperlink"/>
            <w:rFonts w:ascii="Arial" w:hAnsi="Arial" w:cs="Arial"/>
            <w:sz w:val="24"/>
            <w:szCs w:val="24"/>
          </w:rPr>
          <w:t>http://www.uel.ac.uk/qa/extenuation.htm</w:t>
        </w:r>
      </w:hyperlink>
    </w:p>
    <w:p w:rsidR="007173D1" w:rsidRPr="00A216FF" w:rsidRDefault="007173D1" w:rsidP="00E87F05">
      <w:pPr>
        <w:pStyle w:val="ListParagraph"/>
        <w:ind w:left="0"/>
        <w:rPr>
          <w:rFonts w:ascii="Arial" w:hAnsi="Arial" w:cs="Arial"/>
          <w:b/>
          <w:sz w:val="24"/>
          <w:szCs w:val="24"/>
        </w:rPr>
      </w:pPr>
    </w:p>
    <w:p w:rsidR="007173D1" w:rsidRPr="00A216FF" w:rsidRDefault="007173D1" w:rsidP="00E87F05">
      <w:pPr>
        <w:pStyle w:val="ListParagraph"/>
        <w:numPr>
          <w:ilvl w:val="0"/>
          <w:numId w:val="1"/>
        </w:numPr>
        <w:ind w:left="0" w:firstLine="0"/>
        <w:rPr>
          <w:rFonts w:ascii="Arial" w:hAnsi="Arial" w:cs="Arial"/>
          <w:b/>
          <w:sz w:val="24"/>
          <w:szCs w:val="24"/>
        </w:rPr>
      </w:pPr>
      <w:r w:rsidRPr="00A216FF">
        <w:rPr>
          <w:rFonts w:ascii="Arial" w:hAnsi="Arial" w:cs="Arial"/>
          <w:b/>
          <w:sz w:val="24"/>
          <w:szCs w:val="24"/>
        </w:rPr>
        <w:t>Mode of Study</w:t>
      </w:r>
    </w:p>
    <w:p w:rsidR="005112D6" w:rsidRPr="00A216FF" w:rsidRDefault="0097570C" w:rsidP="00E87F05">
      <w:pPr>
        <w:ind w:left="709" w:hanging="709"/>
        <w:rPr>
          <w:rFonts w:ascii="Arial" w:hAnsi="Arial" w:cs="Arial"/>
          <w:sz w:val="24"/>
          <w:szCs w:val="24"/>
        </w:rPr>
      </w:pPr>
      <w:r w:rsidRPr="00A216FF">
        <w:rPr>
          <w:rFonts w:ascii="Arial" w:hAnsi="Arial" w:cs="Arial"/>
          <w:sz w:val="24"/>
          <w:szCs w:val="24"/>
        </w:rPr>
        <w:t>4.</w:t>
      </w:r>
      <w:r w:rsidR="00626AB5">
        <w:rPr>
          <w:rFonts w:ascii="Arial" w:hAnsi="Arial" w:cs="Arial"/>
          <w:sz w:val="24"/>
          <w:szCs w:val="24"/>
        </w:rPr>
        <w:t>1</w:t>
      </w:r>
      <w:r w:rsidR="00626AB5">
        <w:rPr>
          <w:rFonts w:ascii="Arial" w:hAnsi="Arial" w:cs="Arial"/>
          <w:sz w:val="24"/>
          <w:szCs w:val="24"/>
        </w:rPr>
        <w:tab/>
        <w:t>Since 2010-11</w:t>
      </w:r>
      <w:r w:rsidRPr="00A216FF">
        <w:rPr>
          <w:rFonts w:ascii="Arial" w:hAnsi="Arial" w:cs="Arial"/>
          <w:sz w:val="24"/>
          <w:szCs w:val="24"/>
        </w:rPr>
        <w:t xml:space="preserve"> claims </w:t>
      </w:r>
      <w:r w:rsidR="00626AB5">
        <w:rPr>
          <w:rFonts w:ascii="Arial" w:hAnsi="Arial" w:cs="Arial"/>
          <w:sz w:val="24"/>
          <w:szCs w:val="24"/>
        </w:rPr>
        <w:t xml:space="preserve">have been analysed </w:t>
      </w:r>
      <w:r w:rsidRPr="00A216FF">
        <w:rPr>
          <w:rFonts w:ascii="Arial" w:hAnsi="Arial" w:cs="Arial"/>
          <w:sz w:val="24"/>
          <w:szCs w:val="24"/>
        </w:rPr>
        <w:t>by undergraduate and postgraduate status</w:t>
      </w:r>
      <w:r w:rsidR="00626AB5">
        <w:rPr>
          <w:rFonts w:ascii="Arial" w:hAnsi="Arial" w:cs="Arial"/>
          <w:sz w:val="24"/>
          <w:szCs w:val="24"/>
        </w:rPr>
        <w:t>, and</w:t>
      </w:r>
      <w:r w:rsidR="007237C1" w:rsidRPr="00A216FF">
        <w:rPr>
          <w:rFonts w:ascii="Arial" w:hAnsi="Arial" w:cs="Arial"/>
          <w:sz w:val="24"/>
          <w:szCs w:val="24"/>
        </w:rPr>
        <w:t xml:space="preserve"> the number of</w:t>
      </w:r>
      <w:r w:rsidR="002B0DB5">
        <w:rPr>
          <w:rFonts w:ascii="Arial" w:hAnsi="Arial" w:cs="Arial"/>
          <w:sz w:val="24"/>
          <w:szCs w:val="24"/>
        </w:rPr>
        <w:t xml:space="preserve"> claims from home, </w:t>
      </w:r>
      <w:r w:rsidR="006C5ACC" w:rsidRPr="00A216FF">
        <w:rPr>
          <w:rFonts w:ascii="Arial" w:hAnsi="Arial" w:cs="Arial"/>
          <w:sz w:val="24"/>
          <w:szCs w:val="24"/>
        </w:rPr>
        <w:t xml:space="preserve">international </w:t>
      </w:r>
      <w:r w:rsidR="009326A0">
        <w:rPr>
          <w:rFonts w:ascii="Arial" w:hAnsi="Arial" w:cs="Arial"/>
          <w:sz w:val="24"/>
          <w:szCs w:val="24"/>
        </w:rPr>
        <w:t xml:space="preserve">and </w:t>
      </w:r>
      <w:r w:rsidR="00DB205F">
        <w:rPr>
          <w:rFonts w:ascii="Arial" w:hAnsi="Arial" w:cs="Arial"/>
          <w:sz w:val="24"/>
          <w:szCs w:val="24"/>
        </w:rPr>
        <w:t>European</w:t>
      </w:r>
      <w:r w:rsidR="002B0DB5">
        <w:rPr>
          <w:rFonts w:ascii="Arial" w:hAnsi="Arial" w:cs="Arial"/>
          <w:sz w:val="24"/>
          <w:szCs w:val="24"/>
        </w:rPr>
        <w:t xml:space="preserve"> </w:t>
      </w:r>
      <w:r w:rsidR="006C5ACC" w:rsidRPr="00A216FF">
        <w:rPr>
          <w:rFonts w:ascii="Arial" w:hAnsi="Arial" w:cs="Arial"/>
          <w:sz w:val="24"/>
          <w:szCs w:val="24"/>
        </w:rPr>
        <w:t>students</w:t>
      </w:r>
      <w:r w:rsidR="00626AB5">
        <w:rPr>
          <w:rFonts w:ascii="Arial" w:hAnsi="Arial" w:cs="Arial"/>
          <w:sz w:val="24"/>
          <w:szCs w:val="24"/>
        </w:rPr>
        <w:t xml:space="preserve"> have also been not</w:t>
      </w:r>
      <w:r w:rsidR="001D5F36">
        <w:rPr>
          <w:rFonts w:ascii="Arial" w:hAnsi="Arial" w:cs="Arial"/>
          <w:sz w:val="24"/>
          <w:szCs w:val="24"/>
        </w:rPr>
        <w:t xml:space="preserve">ed.  From </w:t>
      </w:r>
      <w:r w:rsidR="002B0DB5">
        <w:rPr>
          <w:rFonts w:ascii="Arial" w:hAnsi="Arial" w:cs="Arial"/>
          <w:sz w:val="24"/>
          <w:szCs w:val="24"/>
        </w:rPr>
        <w:t>2014-15</w:t>
      </w:r>
      <w:r w:rsidR="00626AB5">
        <w:rPr>
          <w:rFonts w:ascii="Arial" w:hAnsi="Arial" w:cs="Arial"/>
          <w:sz w:val="24"/>
          <w:szCs w:val="24"/>
        </w:rPr>
        <w:t xml:space="preserve"> </w:t>
      </w:r>
      <w:r w:rsidR="00066204">
        <w:rPr>
          <w:rFonts w:ascii="Arial" w:hAnsi="Arial" w:cs="Arial"/>
          <w:sz w:val="24"/>
          <w:szCs w:val="24"/>
        </w:rPr>
        <w:t xml:space="preserve">the number of claims </w:t>
      </w:r>
      <w:r w:rsidR="00626AB5">
        <w:rPr>
          <w:rFonts w:ascii="Arial" w:hAnsi="Arial" w:cs="Arial"/>
          <w:sz w:val="24"/>
          <w:szCs w:val="24"/>
        </w:rPr>
        <w:t>from part</w:t>
      </w:r>
      <w:r w:rsidR="00066204">
        <w:rPr>
          <w:rFonts w:ascii="Arial" w:hAnsi="Arial" w:cs="Arial"/>
          <w:sz w:val="24"/>
          <w:szCs w:val="24"/>
        </w:rPr>
        <w:t xml:space="preserve"> time and full time students </w:t>
      </w:r>
      <w:r w:rsidR="007A6820">
        <w:rPr>
          <w:rFonts w:ascii="Arial" w:hAnsi="Arial" w:cs="Arial"/>
          <w:sz w:val="24"/>
          <w:szCs w:val="24"/>
        </w:rPr>
        <w:t>has</w:t>
      </w:r>
      <w:r w:rsidR="00996A29">
        <w:rPr>
          <w:rFonts w:ascii="Arial" w:hAnsi="Arial" w:cs="Arial"/>
          <w:sz w:val="24"/>
          <w:szCs w:val="24"/>
        </w:rPr>
        <w:t xml:space="preserve"> also</w:t>
      </w:r>
      <w:r w:rsidR="007A6820">
        <w:rPr>
          <w:rFonts w:ascii="Arial" w:hAnsi="Arial" w:cs="Arial"/>
          <w:sz w:val="24"/>
          <w:szCs w:val="24"/>
        </w:rPr>
        <w:t xml:space="preserve"> been</w:t>
      </w:r>
      <w:r w:rsidR="00626AB5">
        <w:rPr>
          <w:rFonts w:ascii="Arial" w:hAnsi="Arial" w:cs="Arial"/>
          <w:sz w:val="24"/>
          <w:szCs w:val="24"/>
        </w:rPr>
        <w:t xml:space="preserve"> included in the analysis.</w:t>
      </w:r>
    </w:p>
    <w:p w:rsidR="001226FD" w:rsidRDefault="001226FD" w:rsidP="00E87F05">
      <w:pPr>
        <w:ind w:left="709"/>
        <w:rPr>
          <w:rFonts w:ascii="Arial" w:hAnsi="Arial" w:cs="Arial"/>
          <w:sz w:val="24"/>
          <w:szCs w:val="24"/>
        </w:rPr>
      </w:pPr>
    </w:p>
    <w:tbl>
      <w:tblPr>
        <w:tblW w:w="10038" w:type="dxa"/>
        <w:tblLook w:val="04A0" w:firstRow="1" w:lastRow="0" w:firstColumn="1" w:lastColumn="0" w:noHBand="0" w:noVBand="1"/>
      </w:tblPr>
      <w:tblGrid>
        <w:gridCol w:w="1500"/>
        <w:gridCol w:w="1500"/>
        <w:gridCol w:w="1080"/>
        <w:gridCol w:w="1020"/>
        <w:gridCol w:w="1068"/>
        <w:gridCol w:w="1026"/>
        <w:gridCol w:w="1264"/>
        <w:gridCol w:w="1026"/>
        <w:gridCol w:w="1000"/>
      </w:tblGrid>
      <w:tr w:rsidR="001226FD" w:rsidRPr="001226FD" w:rsidTr="001226FD">
        <w:trPr>
          <w:trHeight w:val="300"/>
        </w:trPr>
        <w:tc>
          <w:tcPr>
            <w:tcW w:w="1500"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w:t>
            </w:r>
          </w:p>
        </w:tc>
        <w:tc>
          <w:tcPr>
            <w:tcW w:w="150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Component claims</w:t>
            </w:r>
          </w:p>
        </w:tc>
        <w:tc>
          <w:tcPr>
            <w:tcW w:w="108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Accept</w:t>
            </w:r>
          </w:p>
        </w:tc>
        <w:tc>
          <w:tcPr>
            <w:tcW w:w="102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Reject</w:t>
            </w:r>
          </w:p>
        </w:tc>
        <w:tc>
          <w:tcPr>
            <w:tcW w:w="1020" w:type="dxa"/>
            <w:tcBorders>
              <w:top w:val="single" w:sz="8" w:space="0" w:color="auto"/>
              <w:left w:val="nil"/>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Accepted</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No. Students who applied</w:t>
            </w:r>
          </w:p>
        </w:tc>
        <w:tc>
          <w:tcPr>
            <w:tcW w:w="1068"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Enrolments</w:t>
            </w:r>
          </w:p>
        </w:tc>
        <w:tc>
          <w:tcPr>
            <w:tcW w:w="830" w:type="dxa"/>
            <w:tcBorders>
              <w:top w:val="single" w:sz="8" w:space="0" w:color="auto"/>
              <w:left w:val="nil"/>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Students who applied</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Home</w:t>
            </w:r>
          </w:p>
        </w:tc>
        <w:tc>
          <w:tcPr>
            <w:tcW w:w="15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1502</w:t>
            </w:r>
          </w:p>
        </w:tc>
        <w:tc>
          <w:tcPr>
            <w:tcW w:w="108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857</w:t>
            </w:r>
          </w:p>
        </w:tc>
        <w:tc>
          <w:tcPr>
            <w:tcW w:w="1020" w:type="dxa"/>
            <w:tcBorders>
              <w:top w:val="nil"/>
              <w:left w:val="nil"/>
              <w:bottom w:val="nil"/>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641</w:t>
            </w:r>
          </w:p>
        </w:tc>
        <w:tc>
          <w:tcPr>
            <w:tcW w:w="1020" w:type="dxa"/>
            <w:tcBorders>
              <w:top w:val="single" w:sz="8" w:space="0" w:color="auto"/>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57.06%</w:t>
            </w:r>
          </w:p>
        </w:tc>
        <w:tc>
          <w:tcPr>
            <w:tcW w:w="102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669</w:t>
            </w:r>
          </w:p>
        </w:tc>
        <w:tc>
          <w:tcPr>
            <w:tcW w:w="1068" w:type="dxa"/>
            <w:tcBorders>
              <w:top w:val="nil"/>
              <w:left w:val="single" w:sz="8" w:space="0" w:color="auto"/>
              <w:bottom w:val="nil"/>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11884</w:t>
            </w:r>
          </w:p>
        </w:tc>
        <w:tc>
          <w:tcPr>
            <w:tcW w:w="830" w:type="dxa"/>
            <w:tcBorders>
              <w:top w:val="single" w:sz="8" w:space="0" w:color="auto"/>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5.63%</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International</w:t>
            </w:r>
          </w:p>
        </w:tc>
        <w:tc>
          <w:tcPr>
            <w:tcW w:w="150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76</w:t>
            </w:r>
          </w:p>
        </w:tc>
        <w:tc>
          <w:tcPr>
            <w:tcW w:w="108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44</w:t>
            </w:r>
          </w:p>
        </w:tc>
        <w:tc>
          <w:tcPr>
            <w:tcW w:w="1020" w:type="dxa"/>
            <w:tcBorders>
              <w:top w:val="nil"/>
              <w:left w:val="nil"/>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32</w:t>
            </w:r>
          </w:p>
        </w:tc>
        <w:tc>
          <w:tcPr>
            <w:tcW w:w="102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57.89%</w:t>
            </w:r>
          </w:p>
        </w:tc>
        <w:tc>
          <w:tcPr>
            <w:tcW w:w="102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lang w:eastAsia="en-GB"/>
              </w:rPr>
            </w:pPr>
            <w:r w:rsidRPr="001226FD">
              <w:rPr>
                <w:rFonts w:ascii="Calibri" w:eastAsia="Times New Roman" w:hAnsi="Calibri" w:cs="Times New Roman"/>
                <w:lang w:eastAsia="en-GB"/>
              </w:rPr>
              <w:t>38</w:t>
            </w:r>
          </w:p>
        </w:tc>
        <w:tc>
          <w:tcPr>
            <w:tcW w:w="1068" w:type="dxa"/>
            <w:tcBorders>
              <w:top w:val="nil"/>
              <w:left w:val="single" w:sz="8" w:space="0" w:color="auto"/>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988</w:t>
            </w:r>
          </w:p>
        </w:tc>
        <w:tc>
          <w:tcPr>
            <w:tcW w:w="83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3.85%</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European</w:t>
            </w:r>
          </w:p>
        </w:tc>
        <w:tc>
          <w:tcPr>
            <w:tcW w:w="15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98</w:t>
            </w:r>
          </w:p>
        </w:tc>
        <w:tc>
          <w:tcPr>
            <w:tcW w:w="1080" w:type="dxa"/>
            <w:tcBorders>
              <w:top w:val="nil"/>
              <w:left w:val="single" w:sz="8" w:space="0" w:color="auto"/>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65</w:t>
            </w:r>
          </w:p>
        </w:tc>
        <w:tc>
          <w:tcPr>
            <w:tcW w:w="102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33</w:t>
            </w:r>
          </w:p>
        </w:tc>
        <w:tc>
          <w:tcPr>
            <w:tcW w:w="102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57.06%</w:t>
            </w:r>
          </w:p>
        </w:tc>
        <w:tc>
          <w:tcPr>
            <w:tcW w:w="102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42</w:t>
            </w:r>
          </w:p>
        </w:tc>
        <w:tc>
          <w:tcPr>
            <w:tcW w:w="1068" w:type="dxa"/>
            <w:tcBorders>
              <w:top w:val="nil"/>
              <w:left w:val="single" w:sz="8" w:space="0" w:color="auto"/>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408</w:t>
            </w:r>
          </w:p>
        </w:tc>
        <w:tc>
          <w:tcPr>
            <w:tcW w:w="83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10.29%</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0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Unknown</w:t>
            </w:r>
          </w:p>
        </w:tc>
        <w:tc>
          <w:tcPr>
            <w:tcW w:w="150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w:t>
            </w:r>
          </w:p>
        </w:tc>
        <w:tc>
          <w:tcPr>
            <w:tcW w:w="108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0</w:t>
            </w:r>
          </w:p>
        </w:tc>
        <w:tc>
          <w:tcPr>
            <w:tcW w:w="1020" w:type="dxa"/>
            <w:tcBorders>
              <w:top w:val="nil"/>
              <w:left w:val="nil"/>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w:t>
            </w:r>
          </w:p>
        </w:tc>
        <w:tc>
          <w:tcPr>
            <w:tcW w:w="1020" w:type="dxa"/>
            <w:tcBorders>
              <w:top w:val="nil"/>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0.00%</w:t>
            </w:r>
          </w:p>
        </w:tc>
        <w:tc>
          <w:tcPr>
            <w:tcW w:w="102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lang w:eastAsia="en-GB"/>
              </w:rPr>
            </w:pPr>
            <w:r w:rsidRPr="001226FD">
              <w:rPr>
                <w:rFonts w:ascii="Calibri" w:eastAsia="Times New Roman" w:hAnsi="Calibri" w:cs="Times New Roman"/>
                <w:lang w:eastAsia="en-GB"/>
              </w:rPr>
              <w:t>1</w:t>
            </w:r>
          </w:p>
        </w:tc>
        <w:tc>
          <w:tcPr>
            <w:tcW w:w="1068" w:type="dxa"/>
            <w:tcBorders>
              <w:top w:val="nil"/>
              <w:left w:val="single" w:sz="8" w:space="0" w:color="auto"/>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137</w:t>
            </w:r>
          </w:p>
        </w:tc>
        <w:tc>
          <w:tcPr>
            <w:tcW w:w="830" w:type="dxa"/>
            <w:tcBorders>
              <w:top w:val="nil"/>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0.73%</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Total</w:t>
            </w:r>
          </w:p>
        </w:tc>
        <w:tc>
          <w:tcPr>
            <w:tcW w:w="1500" w:type="dxa"/>
            <w:tcBorders>
              <w:top w:val="single" w:sz="8" w:space="0" w:color="auto"/>
              <w:left w:val="nil"/>
              <w:bottom w:val="single" w:sz="8" w:space="0" w:color="auto"/>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1678</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966</w:t>
            </w:r>
          </w:p>
        </w:tc>
        <w:tc>
          <w:tcPr>
            <w:tcW w:w="1020" w:type="dxa"/>
            <w:tcBorders>
              <w:top w:val="single" w:sz="8" w:space="0" w:color="auto"/>
              <w:left w:val="nil"/>
              <w:bottom w:val="single" w:sz="8" w:space="0" w:color="auto"/>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708</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57.57%</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708</w:t>
            </w:r>
          </w:p>
        </w:tc>
        <w:tc>
          <w:tcPr>
            <w:tcW w:w="1068" w:type="dxa"/>
            <w:tcBorders>
              <w:top w:val="nil"/>
              <w:left w:val="nil"/>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13009</w:t>
            </w:r>
          </w:p>
        </w:tc>
        <w:tc>
          <w:tcPr>
            <w:tcW w:w="830" w:type="dxa"/>
            <w:tcBorders>
              <w:top w:val="nil"/>
              <w:left w:val="nil"/>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10.21%</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bl>
    <w:p w:rsidR="001226FD" w:rsidRDefault="001226FD" w:rsidP="00E87F05">
      <w:pPr>
        <w:ind w:left="709"/>
        <w:rPr>
          <w:rFonts w:ascii="Arial" w:hAnsi="Arial" w:cs="Arial"/>
          <w:sz w:val="24"/>
          <w:szCs w:val="24"/>
        </w:rPr>
      </w:pPr>
    </w:p>
    <w:p w:rsidR="003C4041" w:rsidRPr="00A216FF" w:rsidRDefault="003C4041" w:rsidP="00E87F05">
      <w:pPr>
        <w:spacing w:after="0"/>
        <w:rPr>
          <w:rFonts w:ascii="Arial" w:hAnsi="Arial" w:cs="Arial"/>
          <w:b/>
          <w:sz w:val="24"/>
          <w:szCs w:val="24"/>
        </w:rPr>
      </w:pPr>
      <w:r w:rsidRPr="00A216FF">
        <w:rPr>
          <w:rFonts w:ascii="Arial" w:hAnsi="Arial" w:cs="Arial"/>
          <w:b/>
          <w:sz w:val="24"/>
          <w:szCs w:val="24"/>
        </w:rPr>
        <w:lastRenderedPageBreak/>
        <w:t>Table 4a: Number of cla</w:t>
      </w:r>
      <w:r w:rsidR="002B0DB5">
        <w:rPr>
          <w:rFonts w:ascii="Arial" w:hAnsi="Arial" w:cs="Arial"/>
          <w:b/>
          <w:sz w:val="24"/>
          <w:szCs w:val="24"/>
        </w:rPr>
        <w:t xml:space="preserve">ims accepted for Home, </w:t>
      </w:r>
      <w:r w:rsidR="001449B6">
        <w:rPr>
          <w:rFonts w:ascii="Arial" w:hAnsi="Arial" w:cs="Arial"/>
          <w:b/>
          <w:sz w:val="24"/>
          <w:szCs w:val="24"/>
        </w:rPr>
        <w:t>International</w:t>
      </w:r>
      <w:r w:rsidRPr="00A216FF">
        <w:rPr>
          <w:rFonts w:ascii="Arial" w:hAnsi="Arial" w:cs="Arial"/>
          <w:b/>
          <w:sz w:val="24"/>
          <w:szCs w:val="24"/>
        </w:rPr>
        <w:t xml:space="preserve"> </w:t>
      </w:r>
      <w:r w:rsidR="002B0DB5">
        <w:rPr>
          <w:rFonts w:ascii="Arial" w:hAnsi="Arial" w:cs="Arial"/>
          <w:b/>
          <w:sz w:val="24"/>
          <w:szCs w:val="24"/>
        </w:rPr>
        <w:t xml:space="preserve">&amp; European </w:t>
      </w:r>
      <w:r w:rsidRPr="00A216FF">
        <w:rPr>
          <w:rFonts w:ascii="Arial" w:hAnsi="Arial" w:cs="Arial"/>
          <w:b/>
          <w:sz w:val="24"/>
          <w:szCs w:val="24"/>
        </w:rPr>
        <w:t xml:space="preserve">students </w:t>
      </w:r>
      <w:r w:rsidR="007A6820">
        <w:rPr>
          <w:rFonts w:ascii="Arial" w:hAnsi="Arial" w:cs="Arial"/>
          <w:b/>
          <w:sz w:val="24"/>
          <w:szCs w:val="24"/>
        </w:rPr>
        <w:t>2014-15</w:t>
      </w:r>
    </w:p>
    <w:p w:rsidR="005F7F6C" w:rsidRPr="002B0DB5" w:rsidRDefault="00E0295D" w:rsidP="00E87F05">
      <w:pPr>
        <w:ind w:left="709" w:hanging="709"/>
        <w:rPr>
          <w:rFonts w:ascii="Arial" w:hAnsi="Arial" w:cs="Arial"/>
          <w:sz w:val="18"/>
          <w:szCs w:val="24"/>
        </w:rPr>
      </w:pPr>
      <w:r w:rsidRPr="00A216FF">
        <w:rPr>
          <w:rFonts w:ascii="Arial" w:hAnsi="Arial" w:cs="Arial"/>
          <w:sz w:val="24"/>
          <w:szCs w:val="24"/>
        </w:rPr>
        <w:tab/>
      </w:r>
    </w:p>
    <w:p w:rsidR="00C75E1F" w:rsidRDefault="005F7F6C" w:rsidP="00E87F05">
      <w:pPr>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r w:rsidR="002B0DB5">
        <w:rPr>
          <w:rFonts w:ascii="Arial" w:hAnsi="Arial" w:cs="Arial"/>
          <w:sz w:val="24"/>
          <w:szCs w:val="24"/>
        </w:rPr>
        <w:t>Table 4a above highlights that the success rate between home, European and international students is consistent.</w:t>
      </w:r>
      <w:r w:rsidRPr="002B0DB5">
        <w:rPr>
          <w:rFonts w:ascii="Arial" w:hAnsi="Arial" w:cs="Arial"/>
          <w:sz w:val="24"/>
          <w:szCs w:val="24"/>
        </w:rPr>
        <w:t xml:space="preserve"> </w:t>
      </w:r>
    </w:p>
    <w:p w:rsidR="001226FD" w:rsidRDefault="002B0DB5" w:rsidP="002B0DB5">
      <w:pPr>
        <w:ind w:left="709" w:hanging="709"/>
        <w:rPr>
          <w:rFonts w:ascii="Arial" w:hAnsi="Arial" w:cs="Arial"/>
          <w:sz w:val="24"/>
          <w:szCs w:val="24"/>
          <w:highlight w:val="yellow"/>
        </w:rPr>
      </w:pPr>
      <w:r>
        <w:rPr>
          <w:rFonts w:ascii="Arial" w:hAnsi="Arial" w:cs="Arial"/>
          <w:sz w:val="24"/>
          <w:szCs w:val="24"/>
        </w:rPr>
        <w:t>4.3</w:t>
      </w:r>
      <w:r>
        <w:rPr>
          <w:rFonts w:ascii="Arial" w:hAnsi="Arial" w:cs="Arial"/>
          <w:sz w:val="24"/>
          <w:szCs w:val="24"/>
        </w:rPr>
        <w:tab/>
      </w:r>
      <w:r w:rsidR="00A86C01" w:rsidRPr="002B0DB5">
        <w:rPr>
          <w:rFonts w:ascii="Arial" w:hAnsi="Arial" w:cs="Arial"/>
          <w:sz w:val="24"/>
          <w:szCs w:val="24"/>
        </w:rPr>
        <w:t>Table 4b below illustrates that postgraduate students are much less likely to apply for extenuat</w:t>
      </w:r>
      <w:r w:rsidR="00626AB5" w:rsidRPr="002B0DB5">
        <w:rPr>
          <w:rFonts w:ascii="Arial" w:hAnsi="Arial" w:cs="Arial"/>
          <w:sz w:val="24"/>
          <w:szCs w:val="24"/>
        </w:rPr>
        <w:t xml:space="preserve">ion than undergraduate students. However postgraduate student claims </w:t>
      </w:r>
      <w:r w:rsidR="001D5F36" w:rsidRPr="002B0DB5">
        <w:rPr>
          <w:rFonts w:ascii="Arial" w:hAnsi="Arial" w:cs="Arial"/>
          <w:sz w:val="24"/>
          <w:szCs w:val="24"/>
        </w:rPr>
        <w:t>have</w:t>
      </w:r>
      <w:r w:rsidR="00626AB5" w:rsidRPr="002B0DB5">
        <w:rPr>
          <w:rFonts w:ascii="Arial" w:hAnsi="Arial" w:cs="Arial"/>
          <w:sz w:val="24"/>
          <w:szCs w:val="24"/>
        </w:rPr>
        <w:t xml:space="preserve"> just over</w:t>
      </w:r>
      <w:r w:rsidR="001D5F36" w:rsidRPr="002B0DB5">
        <w:rPr>
          <w:rFonts w:ascii="Arial" w:hAnsi="Arial" w:cs="Arial"/>
          <w:sz w:val="24"/>
          <w:szCs w:val="24"/>
        </w:rPr>
        <w:t xml:space="preserve"> a</w:t>
      </w:r>
      <w:r w:rsidR="001226FD" w:rsidRPr="002B0DB5">
        <w:rPr>
          <w:rFonts w:ascii="Arial" w:hAnsi="Arial" w:cs="Arial"/>
          <w:sz w:val="24"/>
          <w:szCs w:val="24"/>
        </w:rPr>
        <w:t xml:space="preserve"> 4</w:t>
      </w:r>
      <w:r w:rsidR="003516FD" w:rsidRPr="002B0DB5">
        <w:rPr>
          <w:rFonts w:ascii="Arial" w:hAnsi="Arial" w:cs="Arial"/>
          <w:sz w:val="24"/>
          <w:szCs w:val="24"/>
        </w:rPr>
        <w:t>% higher</w:t>
      </w:r>
      <w:r w:rsidR="00626AB5" w:rsidRPr="002B0DB5">
        <w:rPr>
          <w:rFonts w:ascii="Arial" w:hAnsi="Arial" w:cs="Arial"/>
          <w:sz w:val="24"/>
          <w:szCs w:val="24"/>
        </w:rPr>
        <w:t xml:space="preserve"> </w:t>
      </w:r>
      <w:r w:rsidR="001D5F36" w:rsidRPr="002B0DB5">
        <w:rPr>
          <w:rFonts w:ascii="Arial" w:hAnsi="Arial" w:cs="Arial"/>
          <w:sz w:val="24"/>
          <w:szCs w:val="24"/>
        </w:rPr>
        <w:t xml:space="preserve">acceptance rate </w:t>
      </w:r>
      <w:r w:rsidR="003516FD" w:rsidRPr="002B0DB5">
        <w:rPr>
          <w:rFonts w:ascii="Arial" w:hAnsi="Arial" w:cs="Arial"/>
          <w:sz w:val="24"/>
          <w:szCs w:val="24"/>
        </w:rPr>
        <w:t>than undergraduate claims</w:t>
      </w:r>
      <w:r w:rsidR="00626AB5" w:rsidRPr="002B0DB5">
        <w:rPr>
          <w:rFonts w:ascii="Arial" w:hAnsi="Arial" w:cs="Arial"/>
          <w:sz w:val="24"/>
          <w:szCs w:val="24"/>
        </w:rPr>
        <w:t>.</w:t>
      </w:r>
      <w:r w:rsidR="00B40503">
        <w:rPr>
          <w:rFonts w:ascii="Arial" w:hAnsi="Arial" w:cs="Arial"/>
          <w:sz w:val="24"/>
          <w:szCs w:val="24"/>
        </w:rPr>
        <w:br/>
      </w:r>
    </w:p>
    <w:p w:rsidR="009326A0" w:rsidRPr="002B0DB5" w:rsidRDefault="009326A0" w:rsidP="002B0DB5">
      <w:pPr>
        <w:ind w:left="709" w:hanging="709"/>
        <w:rPr>
          <w:rFonts w:ascii="Arial" w:hAnsi="Arial" w:cs="Arial"/>
          <w:sz w:val="24"/>
          <w:szCs w:val="24"/>
          <w:highlight w:val="yellow"/>
        </w:rPr>
      </w:pPr>
    </w:p>
    <w:tbl>
      <w:tblPr>
        <w:tblW w:w="10592" w:type="dxa"/>
        <w:tblLook w:val="04A0" w:firstRow="1" w:lastRow="0" w:firstColumn="1" w:lastColumn="0" w:noHBand="0" w:noVBand="1"/>
      </w:tblPr>
      <w:tblGrid>
        <w:gridCol w:w="1608"/>
        <w:gridCol w:w="1500"/>
        <w:gridCol w:w="1080"/>
        <w:gridCol w:w="1020"/>
        <w:gridCol w:w="1068"/>
        <w:gridCol w:w="1026"/>
        <w:gridCol w:w="1264"/>
        <w:gridCol w:w="1026"/>
        <w:gridCol w:w="1000"/>
      </w:tblGrid>
      <w:tr w:rsidR="001226FD" w:rsidRPr="001226FD" w:rsidTr="001226FD">
        <w:trPr>
          <w:trHeight w:val="300"/>
        </w:trPr>
        <w:tc>
          <w:tcPr>
            <w:tcW w:w="1608"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w:t>
            </w:r>
          </w:p>
        </w:tc>
        <w:tc>
          <w:tcPr>
            <w:tcW w:w="150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Component claims</w:t>
            </w:r>
          </w:p>
        </w:tc>
        <w:tc>
          <w:tcPr>
            <w:tcW w:w="108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Accept</w:t>
            </w:r>
          </w:p>
        </w:tc>
        <w:tc>
          <w:tcPr>
            <w:tcW w:w="102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Reject</w:t>
            </w:r>
          </w:p>
        </w:tc>
        <w:tc>
          <w:tcPr>
            <w:tcW w:w="1068"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Accepted</w:t>
            </w:r>
          </w:p>
        </w:tc>
        <w:tc>
          <w:tcPr>
            <w:tcW w:w="102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Students who applied</w:t>
            </w:r>
          </w:p>
        </w:tc>
        <w:tc>
          <w:tcPr>
            <w:tcW w:w="1264"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Enrolments</w:t>
            </w:r>
          </w:p>
        </w:tc>
        <w:tc>
          <w:tcPr>
            <w:tcW w:w="102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Students who applied</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r w:rsidR="001226FD" w:rsidRPr="001226FD" w:rsidTr="001226FD">
        <w:trPr>
          <w:trHeight w:val="290"/>
        </w:trPr>
        <w:tc>
          <w:tcPr>
            <w:tcW w:w="1608"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Postgraduate</w:t>
            </w:r>
          </w:p>
        </w:tc>
        <w:tc>
          <w:tcPr>
            <w:tcW w:w="1500"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100</w:t>
            </w:r>
          </w:p>
        </w:tc>
        <w:tc>
          <w:tcPr>
            <w:tcW w:w="1080" w:type="dxa"/>
            <w:tcBorders>
              <w:top w:val="nil"/>
              <w:left w:val="nil"/>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62</w:t>
            </w:r>
          </w:p>
        </w:tc>
        <w:tc>
          <w:tcPr>
            <w:tcW w:w="1020" w:type="dxa"/>
            <w:tcBorders>
              <w:top w:val="nil"/>
              <w:left w:val="nil"/>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38</w:t>
            </w:r>
          </w:p>
        </w:tc>
        <w:tc>
          <w:tcPr>
            <w:tcW w:w="1068" w:type="dxa"/>
            <w:tcBorders>
              <w:top w:val="nil"/>
              <w:left w:val="nil"/>
              <w:bottom w:val="nil"/>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62.00%</w:t>
            </w:r>
          </w:p>
        </w:tc>
        <w:tc>
          <w:tcPr>
            <w:tcW w:w="1026" w:type="dxa"/>
            <w:tcBorders>
              <w:top w:val="nil"/>
              <w:left w:val="single" w:sz="8" w:space="0" w:color="auto"/>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71</w:t>
            </w:r>
          </w:p>
        </w:tc>
        <w:tc>
          <w:tcPr>
            <w:tcW w:w="1264" w:type="dxa"/>
            <w:tcBorders>
              <w:top w:val="nil"/>
              <w:left w:val="nil"/>
              <w:bottom w:val="nil"/>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2,346</w:t>
            </w:r>
          </w:p>
        </w:tc>
        <w:tc>
          <w:tcPr>
            <w:tcW w:w="1026"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3.03%</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608"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Undergraduate</w:t>
            </w:r>
          </w:p>
        </w:tc>
        <w:tc>
          <w:tcPr>
            <w:tcW w:w="1500" w:type="dxa"/>
            <w:tcBorders>
              <w:top w:val="nil"/>
              <w:left w:val="nil"/>
              <w:bottom w:val="nil"/>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1578</w:t>
            </w:r>
          </w:p>
        </w:tc>
        <w:tc>
          <w:tcPr>
            <w:tcW w:w="1080" w:type="dxa"/>
            <w:tcBorders>
              <w:top w:val="nil"/>
              <w:left w:val="nil"/>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904</w:t>
            </w:r>
          </w:p>
        </w:tc>
        <w:tc>
          <w:tcPr>
            <w:tcW w:w="1020" w:type="dxa"/>
            <w:tcBorders>
              <w:top w:val="nil"/>
              <w:left w:val="nil"/>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670</w:t>
            </w:r>
          </w:p>
        </w:tc>
        <w:tc>
          <w:tcPr>
            <w:tcW w:w="1068" w:type="dxa"/>
            <w:tcBorders>
              <w:top w:val="nil"/>
              <w:left w:val="nil"/>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57.29%</w:t>
            </w:r>
          </w:p>
        </w:tc>
        <w:tc>
          <w:tcPr>
            <w:tcW w:w="1026"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679</w:t>
            </w:r>
          </w:p>
        </w:tc>
        <w:tc>
          <w:tcPr>
            <w:tcW w:w="1264" w:type="dxa"/>
            <w:tcBorders>
              <w:top w:val="nil"/>
              <w:left w:val="nil"/>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11081</w:t>
            </w:r>
          </w:p>
        </w:tc>
        <w:tc>
          <w:tcPr>
            <w:tcW w:w="1026"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6.13%</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608" w:type="dxa"/>
            <w:tcBorders>
              <w:top w:val="nil"/>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Total</w:t>
            </w:r>
          </w:p>
        </w:tc>
        <w:tc>
          <w:tcPr>
            <w:tcW w:w="1500" w:type="dxa"/>
            <w:tcBorders>
              <w:top w:val="nil"/>
              <w:left w:val="nil"/>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1678</w:t>
            </w:r>
          </w:p>
        </w:tc>
        <w:tc>
          <w:tcPr>
            <w:tcW w:w="1080" w:type="dxa"/>
            <w:tcBorders>
              <w:top w:val="nil"/>
              <w:left w:val="nil"/>
              <w:bottom w:val="single" w:sz="8" w:space="0" w:color="auto"/>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966</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708</w:t>
            </w:r>
          </w:p>
        </w:tc>
        <w:tc>
          <w:tcPr>
            <w:tcW w:w="1068" w:type="dxa"/>
            <w:tcBorders>
              <w:top w:val="nil"/>
              <w:left w:val="nil"/>
              <w:bottom w:val="single" w:sz="8" w:space="0" w:color="auto"/>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57.57%</w:t>
            </w:r>
          </w:p>
        </w:tc>
        <w:tc>
          <w:tcPr>
            <w:tcW w:w="1026" w:type="dxa"/>
            <w:tcBorders>
              <w:top w:val="nil"/>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750</w:t>
            </w:r>
          </w:p>
        </w:tc>
        <w:tc>
          <w:tcPr>
            <w:tcW w:w="1264" w:type="dxa"/>
            <w:tcBorders>
              <w:top w:val="nil"/>
              <w:left w:val="nil"/>
              <w:bottom w:val="single" w:sz="8" w:space="0" w:color="auto"/>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13,427</w:t>
            </w:r>
          </w:p>
        </w:tc>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5.59%</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bl>
    <w:p w:rsidR="001226FD" w:rsidRPr="00A216FF" w:rsidRDefault="001226FD" w:rsidP="00E87F05">
      <w:pPr>
        <w:ind w:left="709"/>
        <w:rPr>
          <w:rFonts w:ascii="Arial" w:hAnsi="Arial" w:cs="Arial"/>
          <w:sz w:val="24"/>
          <w:szCs w:val="24"/>
        </w:rPr>
      </w:pPr>
    </w:p>
    <w:p w:rsidR="003C4041" w:rsidRPr="00A216FF" w:rsidRDefault="003C4041" w:rsidP="00E87F05">
      <w:pPr>
        <w:spacing w:after="0"/>
        <w:ind w:left="709"/>
        <w:rPr>
          <w:rFonts w:ascii="Arial" w:hAnsi="Arial" w:cs="Arial"/>
          <w:b/>
          <w:sz w:val="24"/>
          <w:szCs w:val="24"/>
        </w:rPr>
      </w:pPr>
      <w:r w:rsidRPr="00A216FF">
        <w:rPr>
          <w:rFonts w:ascii="Arial" w:hAnsi="Arial" w:cs="Arial"/>
          <w:b/>
          <w:sz w:val="24"/>
          <w:szCs w:val="24"/>
        </w:rPr>
        <w:t xml:space="preserve">Table 4b: Number of claims accepted for UG / PG students </w:t>
      </w:r>
      <w:r w:rsidR="007A6820">
        <w:rPr>
          <w:rFonts w:ascii="Arial" w:hAnsi="Arial" w:cs="Arial"/>
          <w:b/>
          <w:sz w:val="24"/>
          <w:szCs w:val="24"/>
        </w:rPr>
        <w:t>2014-15</w:t>
      </w:r>
    </w:p>
    <w:p w:rsidR="00F3164E" w:rsidRDefault="00C75E1F" w:rsidP="00E87F05">
      <w:pPr>
        <w:rPr>
          <w:rFonts w:ascii="Arial" w:hAnsi="Arial" w:cs="Arial"/>
          <w:sz w:val="24"/>
          <w:szCs w:val="24"/>
        </w:rPr>
      </w:pPr>
      <w:r>
        <w:rPr>
          <w:rFonts w:ascii="Arial" w:hAnsi="Arial" w:cs="Arial"/>
          <w:sz w:val="24"/>
          <w:szCs w:val="24"/>
        </w:rPr>
        <w:tab/>
      </w:r>
    </w:p>
    <w:p w:rsidR="009326A0" w:rsidRDefault="00F707DC" w:rsidP="00E87F05">
      <w:pPr>
        <w:rPr>
          <w:rFonts w:ascii="Arial" w:hAnsi="Arial" w:cs="Arial"/>
          <w:sz w:val="24"/>
          <w:szCs w:val="24"/>
        </w:rPr>
      </w:pPr>
      <w:r w:rsidRPr="006C384A">
        <w:rPr>
          <w:rFonts w:ascii="Arial" w:hAnsi="Arial" w:cs="Arial"/>
          <w:sz w:val="24"/>
          <w:szCs w:val="24"/>
        </w:rPr>
        <w:t>4.3</w:t>
      </w:r>
      <w:r w:rsidRPr="006C384A">
        <w:rPr>
          <w:rFonts w:ascii="Arial" w:hAnsi="Arial" w:cs="Arial"/>
          <w:sz w:val="24"/>
          <w:szCs w:val="24"/>
        </w:rPr>
        <w:tab/>
      </w:r>
      <w:r w:rsidR="00DB205F">
        <w:rPr>
          <w:rFonts w:ascii="Arial" w:hAnsi="Arial" w:cs="Arial"/>
          <w:sz w:val="24"/>
          <w:szCs w:val="24"/>
        </w:rPr>
        <w:t>More than seven</w:t>
      </w:r>
      <w:r w:rsidR="00F3164E" w:rsidRPr="006C384A">
        <w:rPr>
          <w:rFonts w:ascii="Arial" w:hAnsi="Arial" w:cs="Arial"/>
          <w:sz w:val="24"/>
          <w:szCs w:val="24"/>
        </w:rPr>
        <w:t xml:space="preserve"> times as many component claims were received from full </w:t>
      </w:r>
      <w:r w:rsidR="00DB205F">
        <w:rPr>
          <w:rFonts w:ascii="Arial" w:hAnsi="Arial" w:cs="Arial"/>
          <w:sz w:val="24"/>
          <w:szCs w:val="24"/>
        </w:rPr>
        <w:tab/>
      </w:r>
      <w:r w:rsidR="00F3164E" w:rsidRPr="006C384A">
        <w:rPr>
          <w:rFonts w:ascii="Arial" w:hAnsi="Arial" w:cs="Arial"/>
          <w:sz w:val="24"/>
          <w:szCs w:val="24"/>
        </w:rPr>
        <w:t xml:space="preserve">time students </w:t>
      </w:r>
      <w:r w:rsidR="00646C5F" w:rsidRPr="006C384A">
        <w:rPr>
          <w:rFonts w:ascii="Arial" w:hAnsi="Arial" w:cs="Arial"/>
          <w:sz w:val="24"/>
          <w:szCs w:val="24"/>
        </w:rPr>
        <w:t xml:space="preserve">compared to part time students. The acceptance rate for part </w:t>
      </w:r>
      <w:r w:rsidR="00DB205F">
        <w:rPr>
          <w:rFonts w:ascii="Arial" w:hAnsi="Arial" w:cs="Arial"/>
          <w:sz w:val="24"/>
          <w:szCs w:val="24"/>
        </w:rPr>
        <w:tab/>
      </w:r>
      <w:r w:rsidR="00646C5F" w:rsidRPr="006C384A">
        <w:rPr>
          <w:rFonts w:ascii="Arial" w:hAnsi="Arial" w:cs="Arial"/>
          <w:sz w:val="24"/>
          <w:szCs w:val="24"/>
        </w:rPr>
        <w:t xml:space="preserve">time </w:t>
      </w:r>
      <w:r w:rsidR="002B0DB5">
        <w:rPr>
          <w:rFonts w:ascii="Arial" w:hAnsi="Arial" w:cs="Arial"/>
          <w:sz w:val="24"/>
          <w:szCs w:val="24"/>
        </w:rPr>
        <w:tab/>
      </w:r>
      <w:r w:rsidR="00646C5F" w:rsidRPr="006C384A">
        <w:rPr>
          <w:rFonts w:ascii="Arial" w:hAnsi="Arial" w:cs="Arial"/>
          <w:sz w:val="24"/>
          <w:szCs w:val="24"/>
        </w:rPr>
        <w:t>students</w:t>
      </w:r>
      <w:r w:rsidR="002B0DB5">
        <w:rPr>
          <w:rFonts w:ascii="Arial" w:hAnsi="Arial" w:cs="Arial"/>
          <w:sz w:val="24"/>
          <w:szCs w:val="24"/>
        </w:rPr>
        <w:t xml:space="preserve"> </w:t>
      </w:r>
      <w:r w:rsidR="00646C5F" w:rsidRPr="006C384A">
        <w:rPr>
          <w:rFonts w:ascii="Arial" w:hAnsi="Arial" w:cs="Arial"/>
          <w:sz w:val="24"/>
          <w:szCs w:val="24"/>
        </w:rPr>
        <w:t xml:space="preserve">was just over 7% higher than that of their full time </w:t>
      </w:r>
      <w:r w:rsidR="00DB205F">
        <w:rPr>
          <w:rFonts w:ascii="Arial" w:hAnsi="Arial" w:cs="Arial"/>
          <w:sz w:val="24"/>
          <w:szCs w:val="24"/>
        </w:rPr>
        <w:tab/>
      </w:r>
      <w:r w:rsidR="00646C5F" w:rsidRPr="006C384A">
        <w:rPr>
          <w:rFonts w:ascii="Arial" w:hAnsi="Arial" w:cs="Arial"/>
          <w:sz w:val="24"/>
          <w:szCs w:val="24"/>
        </w:rPr>
        <w:t xml:space="preserve">counterparts. </w:t>
      </w:r>
      <w:r w:rsidR="001D5F36" w:rsidRPr="006C384A">
        <w:rPr>
          <w:rFonts w:ascii="Arial" w:hAnsi="Arial" w:cs="Arial"/>
          <w:sz w:val="24"/>
          <w:szCs w:val="24"/>
        </w:rPr>
        <w:t xml:space="preserve"> </w:t>
      </w:r>
      <w:r w:rsidR="00F3164E" w:rsidRPr="006C384A">
        <w:rPr>
          <w:rFonts w:ascii="Arial" w:hAnsi="Arial" w:cs="Arial"/>
          <w:sz w:val="24"/>
          <w:szCs w:val="24"/>
        </w:rPr>
        <w:t xml:space="preserve">However </w:t>
      </w:r>
      <w:r w:rsidR="00E203A1" w:rsidRPr="006C384A">
        <w:rPr>
          <w:rFonts w:ascii="Arial" w:hAnsi="Arial" w:cs="Arial"/>
          <w:sz w:val="24"/>
          <w:szCs w:val="24"/>
        </w:rPr>
        <w:t xml:space="preserve">when </w:t>
      </w:r>
      <w:r w:rsidR="00F3164E" w:rsidRPr="006C384A">
        <w:rPr>
          <w:rFonts w:ascii="Arial" w:hAnsi="Arial" w:cs="Arial"/>
          <w:sz w:val="24"/>
          <w:szCs w:val="24"/>
        </w:rPr>
        <w:t>the number of part time</w:t>
      </w:r>
      <w:r w:rsidR="00E203A1" w:rsidRPr="006C384A">
        <w:rPr>
          <w:rFonts w:ascii="Arial" w:hAnsi="Arial" w:cs="Arial"/>
          <w:sz w:val="24"/>
          <w:szCs w:val="24"/>
        </w:rPr>
        <w:t xml:space="preserve"> and full time students </w:t>
      </w:r>
      <w:r w:rsidR="00DB205F">
        <w:rPr>
          <w:rFonts w:ascii="Arial" w:hAnsi="Arial" w:cs="Arial"/>
          <w:sz w:val="24"/>
          <w:szCs w:val="24"/>
        </w:rPr>
        <w:tab/>
      </w:r>
      <w:r w:rsidR="00E203A1" w:rsidRPr="006C384A">
        <w:rPr>
          <w:rFonts w:ascii="Arial" w:hAnsi="Arial" w:cs="Arial"/>
          <w:sz w:val="24"/>
          <w:szCs w:val="24"/>
        </w:rPr>
        <w:t xml:space="preserve">enrolled for </w:t>
      </w:r>
      <w:r w:rsidR="00646C5F" w:rsidRPr="006C384A">
        <w:rPr>
          <w:rFonts w:ascii="Arial" w:hAnsi="Arial" w:cs="Arial"/>
          <w:sz w:val="24"/>
          <w:szCs w:val="24"/>
        </w:rPr>
        <w:t>2014/15</w:t>
      </w:r>
      <w:r w:rsidR="00E203A1" w:rsidRPr="006C384A">
        <w:rPr>
          <w:rFonts w:ascii="Arial" w:hAnsi="Arial" w:cs="Arial"/>
          <w:sz w:val="24"/>
          <w:szCs w:val="24"/>
        </w:rPr>
        <w:t xml:space="preserve"> is analysed </w:t>
      </w:r>
      <w:r w:rsidR="003516FD" w:rsidRPr="006C384A">
        <w:rPr>
          <w:rFonts w:ascii="Arial" w:hAnsi="Arial" w:cs="Arial"/>
          <w:sz w:val="24"/>
          <w:szCs w:val="24"/>
        </w:rPr>
        <w:t xml:space="preserve">further </w:t>
      </w:r>
      <w:r w:rsidR="00646C5F" w:rsidRPr="006C384A">
        <w:rPr>
          <w:rFonts w:ascii="Arial" w:hAnsi="Arial" w:cs="Arial"/>
          <w:sz w:val="24"/>
          <w:szCs w:val="24"/>
        </w:rPr>
        <w:t>the</w:t>
      </w:r>
      <w:r w:rsidR="006C384A" w:rsidRPr="006C384A">
        <w:rPr>
          <w:rFonts w:ascii="Arial" w:hAnsi="Arial" w:cs="Arial"/>
          <w:sz w:val="24"/>
          <w:szCs w:val="24"/>
        </w:rPr>
        <w:t xml:space="preserve">re is only 0.5% difference between </w:t>
      </w:r>
      <w:r w:rsidR="00DB205F">
        <w:rPr>
          <w:rFonts w:ascii="Arial" w:hAnsi="Arial" w:cs="Arial"/>
          <w:sz w:val="24"/>
          <w:szCs w:val="24"/>
        </w:rPr>
        <w:tab/>
        <w:t>the percentage</w:t>
      </w:r>
      <w:r w:rsidR="006C384A" w:rsidRPr="006C384A">
        <w:rPr>
          <w:rFonts w:ascii="Arial" w:hAnsi="Arial" w:cs="Arial"/>
          <w:sz w:val="24"/>
          <w:szCs w:val="24"/>
        </w:rPr>
        <w:t xml:space="preserve"> of </w:t>
      </w:r>
      <w:r w:rsidR="006739F1">
        <w:rPr>
          <w:rFonts w:ascii="Arial" w:hAnsi="Arial" w:cs="Arial"/>
          <w:sz w:val="24"/>
          <w:szCs w:val="24"/>
        </w:rPr>
        <w:t>full</w:t>
      </w:r>
      <w:r w:rsidR="006C384A" w:rsidRPr="006C384A">
        <w:rPr>
          <w:rFonts w:ascii="Arial" w:hAnsi="Arial" w:cs="Arial"/>
          <w:sz w:val="24"/>
          <w:szCs w:val="24"/>
        </w:rPr>
        <w:t>time and part time students submitting a claim.</w:t>
      </w:r>
    </w:p>
    <w:tbl>
      <w:tblPr>
        <w:tblW w:w="9950" w:type="dxa"/>
        <w:tblLook w:val="04A0" w:firstRow="1" w:lastRow="0" w:firstColumn="1" w:lastColumn="0" w:noHBand="0" w:noVBand="1"/>
      </w:tblPr>
      <w:tblGrid>
        <w:gridCol w:w="1500"/>
        <w:gridCol w:w="1500"/>
        <w:gridCol w:w="1080"/>
        <w:gridCol w:w="1020"/>
        <w:gridCol w:w="1020"/>
        <w:gridCol w:w="1026"/>
        <w:gridCol w:w="1026"/>
        <w:gridCol w:w="1026"/>
        <w:gridCol w:w="1000"/>
      </w:tblGrid>
      <w:tr w:rsidR="009326A0" w:rsidRPr="00646C5F" w:rsidTr="009326A0">
        <w:trPr>
          <w:trHeight w:val="300"/>
        </w:trPr>
        <w:tc>
          <w:tcPr>
            <w:tcW w:w="150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 </w:t>
            </w:r>
          </w:p>
        </w:tc>
        <w:tc>
          <w:tcPr>
            <w:tcW w:w="1500" w:type="dxa"/>
            <w:tcBorders>
              <w:top w:val="single" w:sz="8" w:space="0" w:color="auto"/>
              <w:left w:val="nil"/>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Component claims</w:t>
            </w:r>
          </w:p>
        </w:tc>
        <w:tc>
          <w:tcPr>
            <w:tcW w:w="10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Accept</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Reject</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w:t>
            </w:r>
            <w:r>
              <w:rPr>
                <w:rFonts w:ascii="Calibri" w:eastAsia="Times New Roman" w:hAnsi="Calibri" w:cs="Times New Roman"/>
                <w:b/>
                <w:bCs/>
                <w:lang w:eastAsia="en-GB"/>
              </w:rPr>
              <w:t xml:space="preserve"> </w:t>
            </w:r>
            <w:r w:rsidRPr="00646C5F">
              <w:rPr>
                <w:rFonts w:ascii="Calibri" w:eastAsia="Times New Roman" w:hAnsi="Calibri" w:cs="Times New Roman"/>
                <w:b/>
                <w:bCs/>
                <w:lang w:eastAsia="en-GB"/>
              </w:rPr>
              <w:t>Accept</w:t>
            </w:r>
          </w:p>
        </w:tc>
        <w:tc>
          <w:tcPr>
            <w:tcW w:w="1020" w:type="dxa"/>
            <w:tcBorders>
              <w:top w:val="single" w:sz="8" w:space="0" w:color="auto"/>
              <w:left w:val="nil"/>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No. Students who applied</w:t>
            </w:r>
          </w:p>
        </w:tc>
        <w:tc>
          <w:tcPr>
            <w:tcW w:w="980" w:type="dxa"/>
            <w:tcBorders>
              <w:top w:val="single" w:sz="8" w:space="0" w:color="auto"/>
              <w:left w:val="nil"/>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No. Students enrolled</w:t>
            </w:r>
          </w:p>
        </w:tc>
        <w:tc>
          <w:tcPr>
            <w:tcW w:w="830" w:type="dxa"/>
            <w:tcBorders>
              <w:top w:val="single" w:sz="8" w:space="0" w:color="auto"/>
              <w:left w:val="nil"/>
              <w:bottom w:val="single" w:sz="8" w:space="0" w:color="auto"/>
              <w:right w:val="single" w:sz="8" w:space="0" w:color="auto"/>
            </w:tcBorders>
            <w:shd w:val="clear" w:color="000000" w:fill="BDD7EE"/>
            <w:noWrap/>
            <w:vAlign w:val="center"/>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 Students who applied</w:t>
            </w:r>
          </w:p>
        </w:tc>
        <w:tc>
          <w:tcPr>
            <w:tcW w:w="1000" w:type="dxa"/>
            <w:tcBorders>
              <w:top w:val="nil"/>
              <w:left w:val="nil"/>
              <w:bottom w:val="nil"/>
              <w:right w:val="nil"/>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p>
        </w:tc>
      </w:tr>
      <w:tr w:rsidR="009326A0" w:rsidRPr="00646C5F" w:rsidTr="009326A0">
        <w:trPr>
          <w:trHeight w:val="537"/>
        </w:trPr>
        <w:tc>
          <w:tcPr>
            <w:tcW w:w="1500" w:type="dxa"/>
            <w:tcBorders>
              <w:top w:val="nil"/>
              <w:left w:val="single" w:sz="8" w:space="0" w:color="auto"/>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Full Time</w:t>
            </w:r>
          </w:p>
        </w:tc>
        <w:tc>
          <w:tcPr>
            <w:tcW w:w="1500" w:type="dxa"/>
            <w:tcBorders>
              <w:top w:val="single" w:sz="8" w:space="0" w:color="auto"/>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1448</w:t>
            </w:r>
          </w:p>
        </w:tc>
        <w:tc>
          <w:tcPr>
            <w:tcW w:w="1080" w:type="dxa"/>
            <w:tcBorders>
              <w:top w:val="single" w:sz="8" w:space="0" w:color="auto"/>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821</w:t>
            </w:r>
          </w:p>
        </w:tc>
        <w:tc>
          <w:tcPr>
            <w:tcW w:w="1020" w:type="dxa"/>
            <w:tcBorders>
              <w:top w:val="single" w:sz="8" w:space="0" w:color="auto"/>
              <w:left w:val="nil"/>
              <w:bottom w:val="nil"/>
              <w:right w:val="nil"/>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624</w:t>
            </w:r>
          </w:p>
        </w:tc>
        <w:tc>
          <w:tcPr>
            <w:tcW w:w="1020" w:type="dxa"/>
            <w:tcBorders>
              <w:top w:val="nil"/>
              <w:left w:val="single" w:sz="8" w:space="0" w:color="auto"/>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57%</w:t>
            </w:r>
          </w:p>
        </w:tc>
        <w:tc>
          <w:tcPr>
            <w:tcW w:w="1020" w:type="dxa"/>
            <w:tcBorders>
              <w:top w:val="single" w:sz="4" w:space="0" w:color="auto"/>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lang w:eastAsia="en-GB"/>
              </w:rPr>
            </w:pPr>
            <w:r w:rsidRPr="00646C5F">
              <w:rPr>
                <w:rFonts w:ascii="Calibri" w:eastAsia="Times New Roman" w:hAnsi="Calibri" w:cs="Times New Roman"/>
                <w:lang w:eastAsia="en-GB"/>
              </w:rPr>
              <w:t>610</w:t>
            </w:r>
          </w:p>
        </w:tc>
        <w:tc>
          <w:tcPr>
            <w:tcW w:w="980" w:type="dxa"/>
            <w:tcBorders>
              <w:top w:val="nil"/>
              <w:left w:val="nil"/>
              <w:bottom w:val="nil"/>
              <w:right w:val="single" w:sz="8" w:space="0" w:color="auto"/>
            </w:tcBorders>
            <w:shd w:val="clear" w:color="auto" w:fill="auto"/>
            <w:noWrap/>
            <w:vAlign w:val="center"/>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 xml:space="preserve">     11,351 </w:t>
            </w:r>
          </w:p>
        </w:tc>
        <w:tc>
          <w:tcPr>
            <w:tcW w:w="830" w:type="dxa"/>
            <w:tcBorders>
              <w:top w:val="nil"/>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5.37%</w:t>
            </w:r>
          </w:p>
        </w:tc>
        <w:tc>
          <w:tcPr>
            <w:tcW w:w="1000" w:type="dxa"/>
            <w:tcBorders>
              <w:top w:val="nil"/>
              <w:left w:val="nil"/>
              <w:bottom w:val="nil"/>
              <w:right w:val="nil"/>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p>
        </w:tc>
      </w:tr>
      <w:tr w:rsidR="009326A0" w:rsidRPr="00646C5F" w:rsidTr="009326A0">
        <w:trPr>
          <w:trHeight w:val="537"/>
        </w:trPr>
        <w:tc>
          <w:tcPr>
            <w:tcW w:w="1500" w:type="dxa"/>
            <w:tcBorders>
              <w:top w:val="nil"/>
              <w:left w:val="single" w:sz="8" w:space="0" w:color="auto"/>
              <w:bottom w:val="nil"/>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Part Time</w:t>
            </w:r>
          </w:p>
        </w:tc>
        <w:tc>
          <w:tcPr>
            <w:tcW w:w="1500" w:type="dxa"/>
            <w:tcBorders>
              <w:top w:val="nil"/>
              <w:left w:val="nil"/>
              <w:bottom w:val="nil"/>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203</w:t>
            </w:r>
          </w:p>
        </w:tc>
        <w:tc>
          <w:tcPr>
            <w:tcW w:w="1080" w:type="dxa"/>
            <w:tcBorders>
              <w:top w:val="nil"/>
              <w:left w:val="nil"/>
              <w:bottom w:val="nil"/>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131</w:t>
            </w:r>
          </w:p>
        </w:tc>
        <w:tc>
          <w:tcPr>
            <w:tcW w:w="1020" w:type="dxa"/>
            <w:tcBorders>
              <w:top w:val="nil"/>
              <w:left w:val="nil"/>
              <w:bottom w:val="nil"/>
              <w:right w:val="nil"/>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72</w:t>
            </w:r>
          </w:p>
        </w:tc>
        <w:tc>
          <w:tcPr>
            <w:tcW w:w="1020" w:type="dxa"/>
            <w:tcBorders>
              <w:top w:val="single" w:sz="4" w:space="0" w:color="9BC2E6"/>
              <w:left w:val="single" w:sz="8" w:space="0" w:color="auto"/>
              <w:bottom w:val="single" w:sz="4" w:space="0" w:color="9BC2E6"/>
              <w:right w:val="nil"/>
            </w:tcBorders>
            <w:shd w:val="clear" w:color="000000" w:fill="BDD7EE"/>
            <w:noWrap/>
            <w:vAlign w:val="center"/>
            <w:hideMark/>
          </w:tcPr>
          <w:p w:rsidR="009326A0" w:rsidRDefault="009326A0" w:rsidP="009326A0">
            <w:pPr>
              <w:spacing w:after="0" w:line="240" w:lineRule="auto"/>
              <w:jc w:val="center"/>
              <w:rPr>
                <w:rFonts w:ascii="Calibri" w:eastAsia="Times New Roman" w:hAnsi="Calibri" w:cs="Times New Roman"/>
                <w:lang w:eastAsia="en-GB"/>
              </w:rPr>
            </w:pPr>
          </w:p>
          <w:p w:rsidR="009326A0" w:rsidRPr="00646C5F" w:rsidRDefault="009326A0" w:rsidP="009326A0">
            <w:pPr>
              <w:spacing w:after="0" w:line="240" w:lineRule="auto"/>
              <w:jc w:val="center"/>
              <w:rPr>
                <w:rFonts w:ascii="Calibri" w:eastAsia="Times New Roman" w:hAnsi="Calibri" w:cs="Times New Roman"/>
                <w:lang w:eastAsia="en-GB"/>
              </w:rPr>
            </w:pPr>
            <w:r w:rsidRPr="00646C5F">
              <w:rPr>
                <w:rFonts w:ascii="Calibri" w:eastAsia="Times New Roman" w:hAnsi="Calibri" w:cs="Times New Roman"/>
                <w:lang w:eastAsia="en-GB"/>
              </w:rPr>
              <w:t>64.53%</w:t>
            </w:r>
          </w:p>
        </w:tc>
        <w:tc>
          <w:tcPr>
            <w:tcW w:w="1020" w:type="dxa"/>
            <w:tcBorders>
              <w:top w:val="nil"/>
              <w:left w:val="single" w:sz="8" w:space="0" w:color="auto"/>
              <w:bottom w:val="nil"/>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lang w:eastAsia="en-GB"/>
              </w:rPr>
            </w:pPr>
            <w:r w:rsidRPr="00646C5F">
              <w:rPr>
                <w:rFonts w:ascii="Calibri" w:eastAsia="Times New Roman" w:hAnsi="Calibri" w:cs="Times New Roman"/>
                <w:lang w:eastAsia="en-GB"/>
              </w:rPr>
              <w:t>120</w:t>
            </w:r>
          </w:p>
        </w:tc>
        <w:tc>
          <w:tcPr>
            <w:tcW w:w="980" w:type="dxa"/>
            <w:tcBorders>
              <w:top w:val="nil"/>
              <w:left w:val="nil"/>
              <w:bottom w:val="nil"/>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 xml:space="preserve">       2,041 </w:t>
            </w:r>
          </w:p>
        </w:tc>
        <w:tc>
          <w:tcPr>
            <w:tcW w:w="830" w:type="dxa"/>
            <w:tcBorders>
              <w:top w:val="nil"/>
              <w:left w:val="nil"/>
              <w:bottom w:val="nil"/>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5.88%</w:t>
            </w:r>
          </w:p>
        </w:tc>
        <w:tc>
          <w:tcPr>
            <w:tcW w:w="1000" w:type="dxa"/>
            <w:tcBorders>
              <w:top w:val="nil"/>
              <w:left w:val="nil"/>
              <w:bottom w:val="nil"/>
              <w:right w:val="nil"/>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p>
        </w:tc>
      </w:tr>
      <w:tr w:rsidR="009326A0" w:rsidRPr="00646C5F" w:rsidTr="009326A0">
        <w:trPr>
          <w:trHeight w:val="537"/>
        </w:trPr>
        <w:tc>
          <w:tcPr>
            <w:tcW w:w="1500" w:type="dxa"/>
            <w:tcBorders>
              <w:top w:val="nil"/>
              <w:left w:val="single" w:sz="8" w:space="0" w:color="auto"/>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Other</w:t>
            </w:r>
          </w:p>
        </w:tc>
        <w:tc>
          <w:tcPr>
            <w:tcW w:w="1500" w:type="dxa"/>
            <w:tcBorders>
              <w:top w:val="nil"/>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27</w:t>
            </w:r>
          </w:p>
        </w:tc>
        <w:tc>
          <w:tcPr>
            <w:tcW w:w="1080" w:type="dxa"/>
            <w:tcBorders>
              <w:top w:val="nil"/>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14</w:t>
            </w:r>
          </w:p>
        </w:tc>
        <w:tc>
          <w:tcPr>
            <w:tcW w:w="1020" w:type="dxa"/>
            <w:tcBorders>
              <w:top w:val="nil"/>
              <w:left w:val="nil"/>
              <w:bottom w:val="nil"/>
              <w:right w:val="nil"/>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12</w:t>
            </w:r>
          </w:p>
        </w:tc>
        <w:tc>
          <w:tcPr>
            <w:tcW w:w="1020" w:type="dxa"/>
            <w:tcBorders>
              <w:top w:val="nil"/>
              <w:left w:val="single" w:sz="8" w:space="0" w:color="auto"/>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52%</w:t>
            </w:r>
          </w:p>
        </w:tc>
        <w:tc>
          <w:tcPr>
            <w:tcW w:w="1020" w:type="dxa"/>
            <w:tcBorders>
              <w:top w:val="nil"/>
              <w:left w:val="nil"/>
              <w:bottom w:val="single" w:sz="4" w:space="0" w:color="auto"/>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lang w:eastAsia="en-GB"/>
              </w:rPr>
            </w:pPr>
            <w:r w:rsidRPr="00646C5F">
              <w:rPr>
                <w:rFonts w:ascii="Calibri" w:eastAsia="Times New Roman" w:hAnsi="Calibri" w:cs="Times New Roman"/>
                <w:lang w:eastAsia="en-GB"/>
              </w:rPr>
              <w:t>20</w:t>
            </w:r>
          </w:p>
        </w:tc>
        <w:tc>
          <w:tcPr>
            <w:tcW w:w="980" w:type="dxa"/>
            <w:tcBorders>
              <w:top w:val="nil"/>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35</w:t>
            </w:r>
          </w:p>
        </w:tc>
        <w:tc>
          <w:tcPr>
            <w:tcW w:w="830" w:type="dxa"/>
            <w:tcBorders>
              <w:top w:val="nil"/>
              <w:left w:val="nil"/>
              <w:bottom w:val="nil"/>
              <w:right w:val="single" w:sz="8" w:space="0" w:color="auto"/>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r w:rsidRPr="00646C5F">
              <w:rPr>
                <w:rFonts w:ascii="Calibri" w:eastAsia="Times New Roman" w:hAnsi="Calibri" w:cs="Times New Roman"/>
                <w:color w:val="000000"/>
                <w:lang w:eastAsia="en-GB"/>
              </w:rPr>
              <w:t>57.14%</w:t>
            </w:r>
          </w:p>
        </w:tc>
        <w:tc>
          <w:tcPr>
            <w:tcW w:w="1000" w:type="dxa"/>
            <w:tcBorders>
              <w:top w:val="nil"/>
              <w:left w:val="nil"/>
              <w:bottom w:val="nil"/>
              <w:right w:val="nil"/>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color w:val="000000"/>
                <w:lang w:eastAsia="en-GB"/>
              </w:rPr>
            </w:pPr>
          </w:p>
        </w:tc>
      </w:tr>
      <w:tr w:rsidR="009326A0" w:rsidRPr="00646C5F" w:rsidTr="009326A0">
        <w:trPr>
          <w:trHeight w:val="537"/>
        </w:trPr>
        <w:tc>
          <w:tcPr>
            <w:tcW w:w="150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Total</w:t>
            </w:r>
          </w:p>
        </w:tc>
        <w:tc>
          <w:tcPr>
            <w:tcW w:w="1500" w:type="dxa"/>
            <w:tcBorders>
              <w:top w:val="single" w:sz="8" w:space="0" w:color="auto"/>
              <w:left w:val="nil"/>
              <w:bottom w:val="single" w:sz="8" w:space="0" w:color="auto"/>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1678</w:t>
            </w:r>
          </w:p>
        </w:tc>
        <w:tc>
          <w:tcPr>
            <w:tcW w:w="1080" w:type="dxa"/>
            <w:tcBorders>
              <w:top w:val="single" w:sz="8" w:space="0" w:color="auto"/>
              <w:left w:val="nil"/>
              <w:bottom w:val="single" w:sz="8" w:space="0" w:color="auto"/>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966</w:t>
            </w:r>
          </w:p>
        </w:tc>
        <w:tc>
          <w:tcPr>
            <w:tcW w:w="1020" w:type="dxa"/>
            <w:tcBorders>
              <w:top w:val="single" w:sz="8" w:space="0" w:color="auto"/>
              <w:left w:val="nil"/>
              <w:bottom w:val="single" w:sz="8" w:space="0" w:color="auto"/>
              <w:right w:val="nil"/>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b/>
                <w:bCs/>
                <w:color w:val="000000"/>
                <w:lang w:eastAsia="en-GB"/>
              </w:rPr>
            </w:pPr>
            <w:r w:rsidRPr="00646C5F">
              <w:rPr>
                <w:rFonts w:ascii="Calibri" w:eastAsia="Times New Roman" w:hAnsi="Calibri" w:cs="Times New Roman"/>
                <w:b/>
                <w:bCs/>
                <w:color w:val="000000"/>
                <w:lang w:eastAsia="en-GB"/>
              </w:rPr>
              <w:t>708</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57.57%</w:t>
            </w:r>
          </w:p>
        </w:tc>
        <w:tc>
          <w:tcPr>
            <w:tcW w:w="1020" w:type="dxa"/>
            <w:tcBorders>
              <w:top w:val="single" w:sz="8" w:space="0" w:color="auto"/>
              <w:left w:val="nil"/>
              <w:bottom w:val="single" w:sz="8" w:space="0" w:color="auto"/>
              <w:right w:val="single" w:sz="8" w:space="0" w:color="auto"/>
            </w:tcBorders>
            <w:shd w:val="clear" w:color="000000" w:fill="BDD7EE"/>
            <w:noWrap/>
            <w:vAlign w:val="center"/>
            <w:hideMark/>
          </w:tcPr>
          <w:p w:rsidR="009326A0" w:rsidRDefault="009326A0" w:rsidP="009326A0">
            <w:pPr>
              <w:spacing w:after="0" w:line="240" w:lineRule="auto"/>
              <w:jc w:val="center"/>
              <w:rPr>
                <w:rFonts w:ascii="Calibri" w:eastAsia="Times New Roman" w:hAnsi="Calibri" w:cs="Times New Roman"/>
                <w:b/>
                <w:bCs/>
                <w:lang w:eastAsia="en-GB"/>
              </w:rPr>
            </w:pPr>
          </w:p>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750</w:t>
            </w:r>
          </w:p>
        </w:tc>
        <w:tc>
          <w:tcPr>
            <w:tcW w:w="980" w:type="dxa"/>
            <w:tcBorders>
              <w:top w:val="single" w:sz="8" w:space="0" w:color="auto"/>
              <w:left w:val="nil"/>
              <w:bottom w:val="single" w:sz="8" w:space="0" w:color="auto"/>
              <w:right w:val="single" w:sz="8" w:space="0" w:color="auto"/>
            </w:tcBorders>
            <w:shd w:val="clear" w:color="000000" w:fill="BDD7EE"/>
            <w:noWrap/>
            <w:vAlign w:val="center"/>
            <w:hideMark/>
          </w:tcPr>
          <w:p w:rsidR="009326A0" w:rsidRDefault="009326A0" w:rsidP="009326A0">
            <w:pPr>
              <w:spacing w:after="0" w:line="240" w:lineRule="auto"/>
              <w:jc w:val="center"/>
              <w:rPr>
                <w:rFonts w:ascii="Calibri" w:eastAsia="Times New Roman" w:hAnsi="Calibri" w:cs="Times New Roman"/>
                <w:b/>
                <w:bCs/>
                <w:lang w:eastAsia="en-GB"/>
              </w:rPr>
            </w:pPr>
          </w:p>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13427</w:t>
            </w:r>
          </w:p>
        </w:tc>
        <w:tc>
          <w:tcPr>
            <w:tcW w:w="830" w:type="dxa"/>
            <w:tcBorders>
              <w:top w:val="single" w:sz="8" w:space="0" w:color="auto"/>
              <w:left w:val="nil"/>
              <w:bottom w:val="single" w:sz="8" w:space="0" w:color="auto"/>
              <w:right w:val="single" w:sz="8" w:space="0" w:color="auto"/>
            </w:tcBorders>
            <w:shd w:val="clear" w:color="000000" w:fill="BDD7EE"/>
            <w:noWrap/>
            <w:vAlign w:val="center"/>
            <w:hideMark/>
          </w:tcPr>
          <w:p w:rsidR="009326A0" w:rsidRDefault="009326A0" w:rsidP="009326A0">
            <w:pPr>
              <w:spacing w:after="0" w:line="240" w:lineRule="auto"/>
              <w:jc w:val="center"/>
              <w:rPr>
                <w:rFonts w:ascii="Calibri" w:eastAsia="Times New Roman" w:hAnsi="Calibri" w:cs="Times New Roman"/>
                <w:b/>
                <w:bCs/>
                <w:lang w:eastAsia="en-GB"/>
              </w:rPr>
            </w:pPr>
          </w:p>
          <w:p w:rsidR="009326A0" w:rsidRPr="00646C5F" w:rsidRDefault="009326A0" w:rsidP="009326A0">
            <w:pPr>
              <w:spacing w:after="0" w:line="240" w:lineRule="auto"/>
              <w:jc w:val="center"/>
              <w:rPr>
                <w:rFonts w:ascii="Calibri" w:eastAsia="Times New Roman" w:hAnsi="Calibri" w:cs="Times New Roman"/>
                <w:b/>
                <w:bCs/>
                <w:lang w:eastAsia="en-GB"/>
              </w:rPr>
            </w:pPr>
            <w:r w:rsidRPr="00646C5F">
              <w:rPr>
                <w:rFonts w:ascii="Calibri" w:eastAsia="Times New Roman" w:hAnsi="Calibri" w:cs="Times New Roman"/>
                <w:b/>
                <w:bCs/>
                <w:lang w:eastAsia="en-GB"/>
              </w:rPr>
              <w:t>5.59%</w:t>
            </w:r>
          </w:p>
        </w:tc>
        <w:tc>
          <w:tcPr>
            <w:tcW w:w="1000" w:type="dxa"/>
            <w:tcBorders>
              <w:top w:val="nil"/>
              <w:left w:val="nil"/>
              <w:bottom w:val="nil"/>
              <w:right w:val="nil"/>
            </w:tcBorders>
            <w:shd w:val="clear" w:color="auto" w:fill="auto"/>
            <w:noWrap/>
            <w:vAlign w:val="bottom"/>
            <w:hideMark/>
          </w:tcPr>
          <w:p w:rsidR="009326A0" w:rsidRPr="00646C5F" w:rsidRDefault="009326A0" w:rsidP="009326A0">
            <w:pPr>
              <w:spacing w:after="0" w:line="240" w:lineRule="auto"/>
              <w:jc w:val="center"/>
              <w:rPr>
                <w:rFonts w:ascii="Calibri" w:eastAsia="Times New Roman" w:hAnsi="Calibri" w:cs="Times New Roman"/>
                <w:b/>
                <w:bCs/>
                <w:lang w:eastAsia="en-GB"/>
              </w:rPr>
            </w:pPr>
          </w:p>
        </w:tc>
      </w:tr>
    </w:tbl>
    <w:p w:rsidR="009326A0" w:rsidRDefault="009326A0" w:rsidP="009326A0">
      <w:pPr>
        <w:rPr>
          <w:rFonts w:ascii="Arial" w:hAnsi="Arial" w:cs="Arial"/>
          <w:b/>
          <w:sz w:val="24"/>
          <w:szCs w:val="24"/>
        </w:rPr>
      </w:pPr>
    </w:p>
    <w:p w:rsidR="009326A0" w:rsidRDefault="009326A0" w:rsidP="00E87F05">
      <w:pPr>
        <w:rPr>
          <w:rFonts w:ascii="Arial" w:hAnsi="Arial" w:cs="Arial"/>
          <w:b/>
          <w:sz w:val="24"/>
          <w:szCs w:val="24"/>
        </w:rPr>
      </w:pPr>
      <w:r>
        <w:rPr>
          <w:rFonts w:ascii="Arial" w:hAnsi="Arial" w:cs="Arial"/>
          <w:b/>
          <w:sz w:val="24"/>
          <w:szCs w:val="24"/>
        </w:rPr>
        <w:t xml:space="preserve">Table 4c: </w:t>
      </w:r>
      <w:r w:rsidRPr="007C1598">
        <w:rPr>
          <w:rFonts w:ascii="Arial" w:hAnsi="Arial" w:cs="Arial"/>
          <w:b/>
          <w:sz w:val="24"/>
          <w:szCs w:val="24"/>
        </w:rPr>
        <w:t>Number o</w:t>
      </w:r>
      <w:r>
        <w:rPr>
          <w:rFonts w:ascii="Arial" w:hAnsi="Arial" w:cs="Arial"/>
          <w:b/>
          <w:sz w:val="24"/>
          <w:szCs w:val="24"/>
        </w:rPr>
        <w:t>f claims accepted for</w:t>
      </w:r>
      <w:r w:rsidRPr="007C1598">
        <w:rPr>
          <w:rFonts w:ascii="Arial" w:hAnsi="Arial" w:cs="Arial"/>
          <w:b/>
          <w:sz w:val="24"/>
          <w:szCs w:val="24"/>
        </w:rPr>
        <w:t xml:space="preserve"> full tim</w:t>
      </w:r>
      <w:r>
        <w:rPr>
          <w:rFonts w:ascii="Arial" w:hAnsi="Arial" w:cs="Arial"/>
          <w:b/>
          <w:sz w:val="24"/>
          <w:szCs w:val="24"/>
        </w:rPr>
        <w:t>e and part time students 2014-15</w:t>
      </w:r>
    </w:p>
    <w:p w:rsidR="009326A0" w:rsidRPr="009326A0" w:rsidRDefault="009326A0" w:rsidP="00E87F05">
      <w:pPr>
        <w:rPr>
          <w:rFonts w:ascii="Arial" w:hAnsi="Arial" w:cs="Arial"/>
          <w:b/>
          <w:sz w:val="24"/>
          <w:szCs w:val="24"/>
        </w:rPr>
      </w:pPr>
    </w:p>
    <w:p w:rsidR="001D5F36" w:rsidRPr="00A216FF" w:rsidRDefault="001D5F36" w:rsidP="00E87F05">
      <w:pPr>
        <w:pStyle w:val="ListParagraph"/>
        <w:numPr>
          <w:ilvl w:val="0"/>
          <w:numId w:val="1"/>
        </w:numPr>
        <w:ind w:left="0" w:firstLine="0"/>
        <w:rPr>
          <w:rFonts w:ascii="Arial" w:hAnsi="Arial" w:cs="Arial"/>
          <w:b/>
          <w:sz w:val="24"/>
          <w:szCs w:val="24"/>
        </w:rPr>
      </w:pPr>
      <w:r w:rsidRPr="00A216FF">
        <w:rPr>
          <w:rFonts w:ascii="Arial" w:hAnsi="Arial" w:cs="Arial"/>
          <w:b/>
          <w:sz w:val="24"/>
          <w:szCs w:val="24"/>
        </w:rPr>
        <w:t>Equality and Diversity Monitoring</w:t>
      </w:r>
    </w:p>
    <w:p w:rsidR="001D5F36" w:rsidRPr="00A216FF" w:rsidRDefault="001D5F36" w:rsidP="00E87F05">
      <w:pPr>
        <w:pStyle w:val="ListParagraph"/>
        <w:rPr>
          <w:rFonts w:ascii="Arial" w:hAnsi="Arial" w:cs="Arial"/>
          <w:sz w:val="24"/>
          <w:szCs w:val="24"/>
        </w:rPr>
      </w:pPr>
    </w:p>
    <w:p w:rsidR="001D5F36" w:rsidRPr="00A216FF" w:rsidRDefault="001D5F36" w:rsidP="00E87F05">
      <w:pPr>
        <w:pStyle w:val="ListParagraph"/>
        <w:ind w:left="0"/>
        <w:rPr>
          <w:rFonts w:ascii="Arial" w:hAnsi="Arial" w:cs="Arial"/>
          <w:sz w:val="24"/>
          <w:szCs w:val="24"/>
        </w:rPr>
      </w:pPr>
      <w:r w:rsidRPr="00A216FF">
        <w:rPr>
          <w:rFonts w:ascii="Arial" w:hAnsi="Arial" w:cs="Arial"/>
          <w:sz w:val="24"/>
          <w:szCs w:val="24"/>
        </w:rPr>
        <w:t>5.1</w:t>
      </w:r>
      <w:r w:rsidRPr="00A216FF">
        <w:rPr>
          <w:rFonts w:ascii="Arial" w:hAnsi="Arial" w:cs="Arial"/>
          <w:sz w:val="24"/>
          <w:szCs w:val="24"/>
        </w:rPr>
        <w:tab/>
        <w:t xml:space="preserve">All equal opportunities monitoring data for this report was obtained from </w:t>
      </w:r>
      <w:r>
        <w:rPr>
          <w:rFonts w:ascii="Arial" w:hAnsi="Arial" w:cs="Arial"/>
          <w:sz w:val="24"/>
          <w:szCs w:val="24"/>
        </w:rPr>
        <w:tab/>
      </w:r>
      <w:r w:rsidRPr="00A216FF">
        <w:rPr>
          <w:rFonts w:ascii="Arial" w:hAnsi="Arial" w:cs="Arial"/>
          <w:sz w:val="24"/>
          <w:szCs w:val="24"/>
        </w:rPr>
        <w:t>DELTA.</w:t>
      </w:r>
    </w:p>
    <w:p w:rsidR="001D5F36" w:rsidRPr="00A216FF" w:rsidRDefault="001D5F36" w:rsidP="00E87F05">
      <w:pPr>
        <w:pStyle w:val="ListParagraph"/>
        <w:ind w:left="0"/>
        <w:rPr>
          <w:rFonts w:ascii="Arial" w:hAnsi="Arial" w:cs="Arial"/>
          <w:sz w:val="24"/>
          <w:szCs w:val="24"/>
        </w:rPr>
      </w:pPr>
    </w:p>
    <w:p w:rsidR="00865C06" w:rsidRDefault="001D5F36" w:rsidP="00E87F05">
      <w:pPr>
        <w:pStyle w:val="ListParagraph"/>
        <w:ind w:left="709" w:hanging="709"/>
        <w:rPr>
          <w:rFonts w:ascii="Arial" w:hAnsi="Arial" w:cs="Arial"/>
          <w:sz w:val="24"/>
          <w:szCs w:val="24"/>
        </w:rPr>
      </w:pPr>
      <w:r w:rsidRPr="00A216FF">
        <w:rPr>
          <w:rFonts w:ascii="Arial" w:hAnsi="Arial" w:cs="Arial"/>
          <w:sz w:val="24"/>
          <w:szCs w:val="24"/>
        </w:rPr>
        <w:t>5.2</w:t>
      </w:r>
      <w:r w:rsidRPr="00A216FF">
        <w:rPr>
          <w:rFonts w:ascii="Arial" w:hAnsi="Arial" w:cs="Arial"/>
          <w:sz w:val="24"/>
          <w:szCs w:val="24"/>
        </w:rPr>
        <w:tab/>
        <w:t>In order to maintain the fairness of our processes, all claims are</w:t>
      </w:r>
      <w:r w:rsidR="00066204">
        <w:rPr>
          <w:rFonts w:ascii="Arial" w:hAnsi="Arial" w:cs="Arial"/>
          <w:sz w:val="24"/>
          <w:szCs w:val="24"/>
        </w:rPr>
        <w:t xml:space="preserve"> considered anonymously by the Extenuation P</w:t>
      </w:r>
      <w:r w:rsidRPr="00A216FF">
        <w:rPr>
          <w:rFonts w:ascii="Arial" w:hAnsi="Arial" w:cs="Arial"/>
          <w:sz w:val="24"/>
          <w:szCs w:val="24"/>
        </w:rPr>
        <w:t xml:space="preserve">anel.  No data relating to the claimant’s gender, age, ethnicity or disability is included on the form or available to the </w:t>
      </w:r>
      <w:r>
        <w:rPr>
          <w:rFonts w:ascii="Arial" w:hAnsi="Arial" w:cs="Arial"/>
          <w:sz w:val="24"/>
          <w:szCs w:val="24"/>
        </w:rPr>
        <w:t>members of the Extenuation Panel.</w:t>
      </w:r>
    </w:p>
    <w:p w:rsidR="001D5F36" w:rsidRPr="00A216FF" w:rsidRDefault="001D5F36" w:rsidP="00E87F05">
      <w:pPr>
        <w:pStyle w:val="ListParagraph"/>
        <w:ind w:left="709" w:hanging="709"/>
        <w:rPr>
          <w:rFonts w:ascii="Arial" w:hAnsi="Arial" w:cs="Arial"/>
          <w:sz w:val="24"/>
          <w:szCs w:val="24"/>
        </w:rPr>
      </w:pPr>
    </w:p>
    <w:p w:rsidR="008E49E4" w:rsidRPr="00A216FF" w:rsidRDefault="008E49E4" w:rsidP="00E87F05">
      <w:pPr>
        <w:pStyle w:val="ListParagraph"/>
        <w:ind w:left="0"/>
        <w:rPr>
          <w:rFonts w:ascii="Arial" w:hAnsi="Arial" w:cs="Arial"/>
          <w:sz w:val="24"/>
          <w:szCs w:val="24"/>
        </w:rPr>
      </w:pPr>
      <w:r w:rsidRPr="00A216FF">
        <w:rPr>
          <w:rFonts w:ascii="Arial" w:hAnsi="Arial" w:cs="Arial"/>
          <w:sz w:val="24"/>
          <w:szCs w:val="24"/>
        </w:rPr>
        <w:t>5.</w:t>
      </w:r>
      <w:r w:rsidR="004C21C6" w:rsidRPr="00A216FF">
        <w:rPr>
          <w:rFonts w:ascii="Arial" w:hAnsi="Arial" w:cs="Arial"/>
          <w:sz w:val="24"/>
          <w:szCs w:val="24"/>
        </w:rPr>
        <w:t>3</w:t>
      </w:r>
      <w:r w:rsidRPr="00A216FF">
        <w:rPr>
          <w:rFonts w:ascii="Arial" w:hAnsi="Arial" w:cs="Arial"/>
          <w:sz w:val="24"/>
          <w:szCs w:val="24"/>
        </w:rPr>
        <w:tab/>
      </w:r>
      <w:r w:rsidRPr="00F07D8C">
        <w:rPr>
          <w:rFonts w:ascii="Arial" w:hAnsi="Arial" w:cs="Arial"/>
          <w:sz w:val="24"/>
          <w:szCs w:val="24"/>
        </w:rPr>
        <w:t>Gende</w:t>
      </w:r>
      <w:r w:rsidRPr="0002444E">
        <w:rPr>
          <w:rFonts w:ascii="Arial" w:hAnsi="Arial" w:cs="Arial"/>
          <w:sz w:val="24"/>
          <w:szCs w:val="24"/>
        </w:rPr>
        <w:t>r</w:t>
      </w:r>
    </w:p>
    <w:p w:rsidR="008E49E4" w:rsidRPr="00A216FF" w:rsidRDefault="008E49E4" w:rsidP="00E87F05">
      <w:pPr>
        <w:pStyle w:val="ListParagraph"/>
        <w:ind w:left="0"/>
        <w:rPr>
          <w:rFonts w:ascii="Arial" w:hAnsi="Arial" w:cs="Arial"/>
          <w:sz w:val="24"/>
          <w:szCs w:val="24"/>
        </w:rPr>
      </w:pPr>
    </w:p>
    <w:p w:rsidR="00E203A1" w:rsidRDefault="001D5F36" w:rsidP="00E87F05">
      <w:pPr>
        <w:pStyle w:val="ListParagraph"/>
        <w:ind w:left="709"/>
        <w:rPr>
          <w:rFonts w:ascii="Arial" w:hAnsi="Arial" w:cs="Arial"/>
          <w:sz w:val="24"/>
          <w:szCs w:val="24"/>
        </w:rPr>
      </w:pPr>
      <w:r w:rsidRPr="006C384A">
        <w:rPr>
          <w:rFonts w:ascii="Arial" w:hAnsi="Arial" w:cs="Arial"/>
          <w:sz w:val="24"/>
          <w:szCs w:val="24"/>
        </w:rPr>
        <w:t xml:space="preserve">The </w:t>
      </w:r>
      <w:r w:rsidR="008E49E4" w:rsidRPr="006C384A">
        <w:rPr>
          <w:rFonts w:ascii="Arial" w:hAnsi="Arial" w:cs="Arial"/>
          <w:sz w:val="24"/>
          <w:szCs w:val="24"/>
        </w:rPr>
        <w:t>annual reports consistently demonstrate that female students are more likely to apply for extenuating circumstance</w:t>
      </w:r>
      <w:r w:rsidR="00996A29" w:rsidRPr="006C384A">
        <w:rPr>
          <w:rFonts w:ascii="Arial" w:hAnsi="Arial" w:cs="Arial"/>
          <w:sz w:val="24"/>
          <w:szCs w:val="24"/>
        </w:rPr>
        <w:t>s</w:t>
      </w:r>
      <w:r w:rsidR="008E49E4" w:rsidRPr="006C384A">
        <w:rPr>
          <w:rFonts w:ascii="Arial" w:hAnsi="Arial" w:cs="Arial"/>
          <w:sz w:val="24"/>
          <w:szCs w:val="24"/>
        </w:rPr>
        <w:t xml:space="preserve"> than male students, and are also more likely</w:t>
      </w:r>
      <w:r w:rsidR="00E203A1" w:rsidRPr="006C384A">
        <w:rPr>
          <w:rFonts w:ascii="Arial" w:hAnsi="Arial" w:cs="Arial"/>
          <w:sz w:val="24"/>
          <w:szCs w:val="24"/>
        </w:rPr>
        <w:t xml:space="preserve"> to have their claims accepted and </w:t>
      </w:r>
      <w:r w:rsidR="00F707DC" w:rsidRPr="006C384A">
        <w:rPr>
          <w:rFonts w:ascii="Arial" w:hAnsi="Arial" w:cs="Arial"/>
          <w:sz w:val="24"/>
          <w:szCs w:val="24"/>
        </w:rPr>
        <w:t>201</w:t>
      </w:r>
      <w:r w:rsidR="0095209A" w:rsidRPr="006C384A">
        <w:rPr>
          <w:rFonts w:ascii="Arial" w:hAnsi="Arial" w:cs="Arial"/>
          <w:sz w:val="24"/>
          <w:szCs w:val="24"/>
        </w:rPr>
        <w:t>4-15</w:t>
      </w:r>
      <w:r w:rsidR="00E203A1" w:rsidRPr="006C384A">
        <w:rPr>
          <w:rFonts w:ascii="Arial" w:hAnsi="Arial" w:cs="Arial"/>
          <w:sz w:val="24"/>
          <w:szCs w:val="24"/>
        </w:rPr>
        <w:t xml:space="preserve"> follows that trend.</w:t>
      </w:r>
      <w:r w:rsidR="008E49E4" w:rsidRPr="00A216FF">
        <w:rPr>
          <w:rFonts w:ascii="Arial" w:hAnsi="Arial" w:cs="Arial"/>
          <w:sz w:val="24"/>
          <w:szCs w:val="24"/>
        </w:rPr>
        <w:t xml:space="preserve"> </w:t>
      </w:r>
    </w:p>
    <w:p w:rsidR="00E203A1" w:rsidRDefault="00E203A1" w:rsidP="00E87F05">
      <w:pPr>
        <w:pStyle w:val="ListParagraph"/>
        <w:ind w:left="709"/>
        <w:rPr>
          <w:rFonts w:ascii="Arial" w:hAnsi="Arial" w:cs="Arial"/>
          <w:sz w:val="24"/>
          <w:szCs w:val="24"/>
        </w:rPr>
      </w:pPr>
    </w:p>
    <w:p w:rsidR="008E49E4" w:rsidRPr="00A216FF" w:rsidRDefault="008E49E4" w:rsidP="00E87F05">
      <w:pPr>
        <w:pStyle w:val="ListParagraph"/>
        <w:ind w:left="709"/>
        <w:rPr>
          <w:rFonts w:ascii="Arial" w:hAnsi="Arial" w:cs="Arial"/>
          <w:sz w:val="24"/>
          <w:szCs w:val="24"/>
        </w:rPr>
      </w:pPr>
      <w:r w:rsidRPr="00A216FF">
        <w:rPr>
          <w:rFonts w:ascii="Arial" w:hAnsi="Arial" w:cs="Arial"/>
          <w:sz w:val="24"/>
          <w:szCs w:val="24"/>
        </w:rPr>
        <w:t xml:space="preserve">Table </w:t>
      </w:r>
      <w:r w:rsidR="006D2F98" w:rsidRPr="00A216FF">
        <w:rPr>
          <w:rFonts w:ascii="Arial" w:hAnsi="Arial" w:cs="Arial"/>
          <w:sz w:val="24"/>
          <w:szCs w:val="24"/>
        </w:rPr>
        <w:t>5</w:t>
      </w:r>
      <w:r w:rsidR="001D5F36">
        <w:rPr>
          <w:rFonts w:ascii="Arial" w:hAnsi="Arial" w:cs="Arial"/>
          <w:sz w:val="24"/>
          <w:szCs w:val="24"/>
        </w:rPr>
        <w:t xml:space="preserve">a </w:t>
      </w:r>
      <w:r w:rsidR="002B0DB5">
        <w:rPr>
          <w:rFonts w:ascii="Arial" w:hAnsi="Arial" w:cs="Arial"/>
          <w:sz w:val="24"/>
          <w:szCs w:val="24"/>
        </w:rPr>
        <w:t>below</w:t>
      </w:r>
      <w:r w:rsidRPr="00A216FF">
        <w:rPr>
          <w:rFonts w:ascii="Arial" w:hAnsi="Arial" w:cs="Arial"/>
          <w:sz w:val="24"/>
          <w:szCs w:val="24"/>
        </w:rPr>
        <w:t xml:space="preserve"> displays information about the number of assessment components applied for by gender in </w:t>
      </w:r>
      <w:r w:rsidR="0095209A">
        <w:rPr>
          <w:rFonts w:ascii="Arial" w:hAnsi="Arial" w:cs="Arial"/>
          <w:sz w:val="24"/>
          <w:szCs w:val="24"/>
        </w:rPr>
        <w:t>2014-15</w:t>
      </w:r>
      <w:r w:rsidR="00E92838">
        <w:rPr>
          <w:rFonts w:ascii="Arial" w:hAnsi="Arial" w:cs="Arial"/>
          <w:sz w:val="24"/>
          <w:szCs w:val="24"/>
        </w:rPr>
        <w:t xml:space="preserve"> and the percentage</w:t>
      </w:r>
      <w:r w:rsidR="00E203A1">
        <w:rPr>
          <w:rFonts w:ascii="Arial" w:hAnsi="Arial" w:cs="Arial"/>
          <w:sz w:val="24"/>
          <w:szCs w:val="24"/>
        </w:rPr>
        <w:t xml:space="preserve"> of the UEL population that made a claim.</w:t>
      </w:r>
    </w:p>
    <w:p w:rsidR="008E49E4" w:rsidRDefault="008E49E4" w:rsidP="00E87F05">
      <w:pPr>
        <w:pStyle w:val="ListParagraph"/>
        <w:ind w:left="709"/>
        <w:rPr>
          <w:rFonts w:ascii="Arial" w:hAnsi="Arial" w:cs="Arial"/>
          <w:sz w:val="24"/>
          <w:szCs w:val="24"/>
        </w:rPr>
      </w:pPr>
    </w:p>
    <w:tbl>
      <w:tblPr>
        <w:tblW w:w="10110" w:type="dxa"/>
        <w:tblLook w:val="04A0" w:firstRow="1" w:lastRow="0" w:firstColumn="1" w:lastColumn="0" w:noHBand="0" w:noVBand="1"/>
      </w:tblPr>
      <w:tblGrid>
        <w:gridCol w:w="1500"/>
        <w:gridCol w:w="1500"/>
        <w:gridCol w:w="1080"/>
        <w:gridCol w:w="1020"/>
        <w:gridCol w:w="1020"/>
        <w:gridCol w:w="1020"/>
        <w:gridCol w:w="1009"/>
        <w:gridCol w:w="1186"/>
        <w:gridCol w:w="1000"/>
      </w:tblGrid>
      <w:tr w:rsidR="001226FD" w:rsidRPr="001226FD" w:rsidTr="001226FD">
        <w:trPr>
          <w:trHeight w:val="300"/>
        </w:trPr>
        <w:tc>
          <w:tcPr>
            <w:tcW w:w="150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w:t>
            </w:r>
          </w:p>
        </w:tc>
        <w:tc>
          <w:tcPr>
            <w:tcW w:w="150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Component claims</w:t>
            </w:r>
          </w:p>
        </w:tc>
        <w:tc>
          <w:tcPr>
            <w:tcW w:w="1080"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Accepted</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Rejected</w:t>
            </w:r>
          </w:p>
        </w:tc>
        <w:tc>
          <w:tcPr>
            <w:tcW w:w="1020"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%Accept</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students who applied</w:t>
            </w:r>
          </w:p>
        </w:tc>
        <w:tc>
          <w:tcPr>
            <w:tcW w:w="98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students enrolled</w:t>
            </w:r>
          </w:p>
        </w:tc>
        <w:tc>
          <w:tcPr>
            <w:tcW w:w="99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%Students who applied</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r w:rsidR="001226FD" w:rsidRPr="001226FD" w:rsidTr="001226FD">
        <w:trPr>
          <w:trHeight w:val="300"/>
        </w:trPr>
        <w:tc>
          <w:tcPr>
            <w:tcW w:w="150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Female</w:t>
            </w:r>
          </w:p>
        </w:tc>
        <w:tc>
          <w:tcPr>
            <w:tcW w:w="1500"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1217</w:t>
            </w:r>
          </w:p>
        </w:tc>
        <w:tc>
          <w:tcPr>
            <w:tcW w:w="1080" w:type="dxa"/>
            <w:tcBorders>
              <w:top w:val="nil"/>
              <w:left w:val="nil"/>
              <w:bottom w:val="nil"/>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728</w:t>
            </w:r>
          </w:p>
        </w:tc>
        <w:tc>
          <w:tcPr>
            <w:tcW w:w="102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486</w:t>
            </w:r>
          </w:p>
        </w:tc>
        <w:tc>
          <w:tcPr>
            <w:tcW w:w="1020" w:type="dxa"/>
            <w:tcBorders>
              <w:top w:val="nil"/>
              <w:left w:val="nil"/>
              <w:bottom w:val="nil"/>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59.82%</w:t>
            </w:r>
          </w:p>
        </w:tc>
        <w:tc>
          <w:tcPr>
            <w:tcW w:w="1020" w:type="dxa"/>
            <w:tcBorders>
              <w:top w:val="nil"/>
              <w:left w:val="single" w:sz="8" w:space="0" w:color="auto"/>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524</w:t>
            </w:r>
          </w:p>
        </w:tc>
        <w:tc>
          <w:tcPr>
            <w:tcW w:w="98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8161</w:t>
            </w:r>
          </w:p>
        </w:tc>
        <w:tc>
          <w:tcPr>
            <w:tcW w:w="990" w:type="dxa"/>
            <w:tcBorders>
              <w:top w:val="nil"/>
              <w:left w:val="nil"/>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6.42%</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Male</w:t>
            </w:r>
          </w:p>
        </w:tc>
        <w:tc>
          <w:tcPr>
            <w:tcW w:w="1500" w:type="dxa"/>
            <w:tcBorders>
              <w:top w:val="nil"/>
              <w:left w:val="nil"/>
              <w:bottom w:val="nil"/>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458</w:t>
            </w:r>
          </w:p>
        </w:tc>
        <w:tc>
          <w:tcPr>
            <w:tcW w:w="1080" w:type="dxa"/>
            <w:tcBorders>
              <w:top w:val="nil"/>
              <w:left w:val="nil"/>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237</w:t>
            </w:r>
          </w:p>
        </w:tc>
        <w:tc>
          <w:tcPr>
            <w:tcW w:w="102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220</w:t>
            </w:r>
          </w:p>
        </w:tc>
        <w:tc>
          <w:tcPr>
            <w:tcW w:w="1020" w:type="dxa"/>
            <w:tcBorders>
              <w:top w:val="nil"/>
              <w:left w:val="nil"/>
              <w:bottom w:val="nil"/>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51.75%</w:t>
            </w:r>
          </w:p>
        </w:tc>
        <w:tc>
          <w:tcPr>
            <w:tcW w:w="1020" w:type="dxa"/>
            <w:tcBorders>
              <w:top w:val="nil"/>
              <w:left w:val="single" w:sz="8" w:space="0" w:color="auto"/>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224</w:t>
            </w:r>
          </w:p>
        </w:tc>
        <w:tc>
          <w:tcPr>
            <w:tcW w:w="98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5264</w:t>
            </w:r>
          </w:p>
        </w:tc>
        <w:tc>
          <w:tcPr>
            <w:tcW w:w="990" w:type="dxa"/>
            <w:tcBorders>
              <w:top w:val="nil"/>
              <w:left w:val="nil"/>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4.26%</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Unknown</w:t>
            </w:r>
          </w:p>
        </w:tc>
        <w:tc>
          <w:tcPr>
            <w:tcW w:w="1500" w:type="dxa"/>
            <w:tcBorders>
              <w:top w:val="nil"/>
              <w:left w:val="nil"/>
              <w:bottom w:val="single" w:sz="8" w:space="0" w:color="auto"/>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w:t>
            </w:r>
          </w:p>
        </w:tc>
        <w:tc>
          <w:tcPr>
            <w:tcW w:w="1080" w:type="dxa"/>
            <w:tcBorders>
              <w:top w:val="nil"/>
              <w:left w:val="nil"/>
              <w:bottom w:val="single" w:sz="8" w:space="0" w:color="auto"/>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w:t>
            </w:r>
          </w:p>
        </w:tc>
        <w:tc>
          <w:tcPr>
            <w:tcW w:w="1020" w:type="dxa"/>
            <w:tcBorders>
              <w:top w:val="nil"/>
              <w:left w:val="nil"/>
              <w:bottom w:val="single" w:sz="8" w:space="0" w:color="auto"/>
              <w:right w:val="nil"/>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33.33%</w:t>
            </w:r>
          </w:p>
        </w:tc>
        <w:tc>
          <w:tcPr>
            <w:tcW w:w="1020" w:type="dxa"/>
            <w:tcBorders>
              <w:top w:val="nil"/>
              <w:left w:val="single" w:sz="8" w:space="0" w:color="auto"/>
              <w:bottom w:val="single" w:sz="8" w:space="0" w:color="auto"/>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w:t>
            </w:r>
          </w:p>
        </w:tc>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w:t>
            </w:r>
          </w:p>
        </w:tc>
        <w:tc>
          <w:tcPr>
            <w:tcW w:w="990" w:type="dxa"/>
            <w:tcBorders>
              <w:top w:val="nil"/>
              <w:left w:val="nil"/>
              <w:bottom w:val="single" w:sz="8" w:space="0" w:color="auto"/>
              <w:right w:val="single" w:sz="8" w:space="0" w:color="auto"/>
            </w:tcBorders>
            <w:shd w:val="clear" w:color="auto" w:fill="auto"/>
            <w:noWrap/>
            <w:vAlign w:val="center"/>
            <w:hideMark/>
          </w:tcPr>
          <w:p w:rsidR="001226FD" w:rsidRPr="001226FD" w:rsidRDefault="001226FD" w:rsidP="006C384A">
            <w:pPr>
              <w:spacing w:after="0" w:line="240" w:lineRule="auto"/>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 xml:space="preserve">           2 </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00" w:type="dxa"/>
            <w:tcBorders>
              <w:top w:val="nil"/>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Total</w:t>
            </w:r>
          </w:p>
        </w:tc>
        <w:tc>
          <w:tcPr>
            <w:tcW w:w="1500" w:type="dxa"/>
            <w:tcBorders>
              <w:top w:val="nil"/>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1678</w:t>
            </w:r>
          </w:p>
        </w:tc>
        <w:tc>
          <w:tcPr>
            <w:tcW w:w="1080" w:type="dxa"/>
            <w:tcBorders>
              <w:top w:val="nil"/>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966</w:t>
            </w:r>
          </w:p>
        </w:tc>
        <w:tc>
          <w:tcPr>
            <w:tcW w:w="1020" w:type="dxa"/>
            <w:tcBorders>
              <w:top w:val="nil"/>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708</w:t>
            </w:r>
          </w:p>
        </w:tc>
        <w:tc>
          <w:tcPr>
            <w:tcW w:w="1020" w:type="dxa"/>
            <w:tcBorders>
              <w:top w:val="nil"/>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57.57%</w:t>
            </w:r>
          </w:p>
        </w:tc>
        <w:tc>
          <w:tcPr>
            <w:tcW w:w="1020" w:type="dxa"/>
            <w:tcBorders>
              <w:top w:val="nil"/>
              <w:left w:val="single" w:sz="8" w:space="0" w:color="auto"/>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750</w:t>
            </w:r>
          </w:p>
        </w:tc>
        <w:tc>
          <w:tcPr>
            <w:tcW w:w="980" w:type="dxa"/>
            <w:tcBorders>
              <w:top w:val="nil"/>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13,427</w:t>
            </w:r>
          </w:p>
        </w:tc>
        <w:tc>
          <w:tcPr>
            <w:tcW w:w="990" w:type="dxa"/>
            <w:tcBorders>
              <w:top w:val="nil"/>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5.59%</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bl>
    <w:p w:rsidR="001226FD" w:rsidRPr="00A216FF" w:rsidRDefault="001226FD" w:rsidP="00E87F05">
      <w:pPr>
        <w:pStyle w:val="ListParagraph"/>
        <w:ind w:left="709"/>
        <w:rPr>
          <w:rFonts w:ascii="Arial" w:hAnsi="Arial" w:cs="Arial"/>
          <w:sz w:val="24"/>
          <w:szCs w:val="24"/>
        </w:rPr>
      </w:pPr>
    </w:p>
    <w:p w:rsidR="008E49E4" w:rsidRPr="006739F1" w:rsidRDefault="005F7F6C" w:rsidP="006739F1">
      <w:pPr>
        <w:pStyle w:val="ListParagraph"/>
        <w:spacing w:after="0"/>
        <w:ind w:left="284"/>
        <w:rPr>
          <w:rFonts w:ascii="Arial" w:hAnsi="Arial" w:cs="Arial"/>
          <w:b/>
          <w:sz w:val="24"/>
          <w:szCs w:val="24"/>
        </w:rPr>
      </w:pPr>
      <w:r>
        <w:rPr>
          <w:rFonts w:ascii="Arial" w:hAnsi="Arial" w:cs="Arial"/>
          <w:b/>
          <w:sz w:val="24"/>
          <w:szCs w:val="24"/>
        </w:rPr>
        <w:tab/>
      </w:r>
      <w:r w:rsidR="008E49E4" w:rsidRPr="00A216FF">
        <w:rPr>
          <w:rFonts w:ascii="Arial" w:hAnsi="Arial" w:cs="Arial"/>
          <w:b/>
          <w:sz w:val="24"/>
          <w:szCs w:val="24"/>
        </w:rPr>
        <w:t xml:space="preserve">Table </w:t>
      </w:r>
      <w:r w:rsidR="006D2F98" w:rsidRPr="00A216FF">
        <w:rPr>
          <w:rFonts w:ascii="Arial" w:hAnsi="Arial" w:cs="Arial"/>
          <w:b/>
          <w:sz w:val="24"/>
          <w:szCs w:val="24"/>
        </w:rPr>
        <w:t>5</w:t>
      </w:r>
      <w:r w:rsidR="008E49E4" w:rsidRPr="00A216FF">
        <w:rPr>
          <w:rFonts w:ascii="Arial" w:hAnsi="Arial" w:cs="Arial"/>
          <w:b/>
          <w:sz w:val="24"/>
          <w:szCs w:val="24"/>
        </w:rPr>
        <w:t>a:</w:t>
      </w:r>
      <w:r w:rsidR="009F2DC0" w:rsidRPr="00A216FF">
        <w:rPr>
          <w:rFonts w:ascii="Arial" w:hAnsi="Arial" w:cs="Arial"/>
          <w:b/>
          <w:sz w:val="24"/>
          <w:szCs w:val="24"/>
        </w:rPr>
        <w:t xml:space="preserve"> </w:t>
      </w:r>
      <w:r w:rsidR="008E49E4" w:rsidRPr="00A216FF">
        <w:rPr>
          <w:rFonts w:ascii="Arial" w:hAnsi="Arial" w:cs="Arial"/>
          <w:b/>
          <w:sz w:val="24"/>
          <w:szCs w:val="24"/>
        </w:rPr>
        <w:t xml:space="preserve">Extenuation statistics for </w:t>
      </w:r>
      <w:r w:rsidR="0095209A">
        <w:rPr>
          <w:rFonts w:ascii="Arial" w:hAnsi="Arial" w:cs="Arial"/>
          <w:b/>
          <w:sz w:val="24"/>
          <w:szCs w:val="24"/>
        </w:rPr>
        <w:t xml:space="preserve">2014-15 </w:t>
      </w:r>
      <w:r w:rsidR="00B40503">
        <w:rPr>
          <w:rFonts w:ascii="Arial" w:hAnsi="Arial" w:cs="Arial"/>
          <w:b/>
          <w:sz w:val="24"/>
          <w:szCs w:val="24"/>
        </w:rPr>
        <w:t>by gender</w:t>
      </w:r>
      <w:r w:rsidR="00B40503">
        <w:rPr>
          <w:rFonts w:ascii="Arial" w:hAnsi="Arial" w:cs="Arial"/>
          <w:b/>
          <w:sz w:val="24"/>
          <w:szCs w:val="24"/>
        </w:rPr>
        <w:br/>
      </w:r>
    </w:p>
    <w:p w:rsidR="00865C06" w:rsidRDefault="009F2DC0" w:rsidP="00E87F05">
      <w:pPr>
        <w:pStyle w:val="ListParagraph"/>
        <w:ind w:left="709"/>
        <w:rPr>
          <w:rFonts w:ascii="Arial" w:hAnsi="Arial" w:cs="Arial"/>
          <w:sz w:val="24"/>
          <w:szCs w:val="24"/>
        </w:rPr>
      </w:pPr>
      <w:r w:rsidRPr="002B0DB5">
        <w:rPr>
          <w:rFonts w:ascii="Arial" w:hAnsi="Arial" w:cs="Arial"/>
          <w:sz w:val="24"/>
          <w:szCs w:val="24"/>
        </w:rPr>
        <w:t>Female students a</w:t>
      </w:r>
      <w:r w:rsidR="007C40D9" w:rsidRPr="002B0DB5">
        <w:rPr>
          <w:rFonts w:ascii="Arial" w:hAnsi="Arial" w:cs="Arial"/>
          <w:sz w:val="24"/>
          <w:szCs w:val="24"/>
        </w:rPr>
        <w:t>ccounted</w:t>
      </w:r>
      <w:r w:rsidRPr="002B0DB5">
        <w:rPr>
          <w:rFonts w:ascii="Arial" w:hAnsi="Arial" w:cs="Arial"/>
          <w:sz w:val="24"/>
          <w:szCs w:val="24"/>
        </w:rPr>
        <w:t xml:space="preserve"> for </w:t>
      </w:r>
      <w:r w:rsidR="006C384A" w:rsidRPr="002B0DB5">
        <w:rPr>
          <w:rFonts w:ascii="Arial" w:hAnsi="Arial" w:cs="Arial"/>
          <w:sz w:val="24"/>
          <w:szCs w:val="24"/>
        </w:rPr>
        <w:t>1217 out of 1678</w:t>
      </w:r>
      <w:r w:rsidR="00E203A1" w:rsidRPr="002B0DB5">
        <w:rPr>
          <w:rFonts w:ascii="Arial" w:hAnsi="Arial" w:cs="Arial"/>
          <w:sz w:val="24"/>
          <w:szCs w:val="24"/>
        </w:rPr>
        <w:t xml:space="preserve"> claims</w:t>
      </w:r>
      <w:r w:rsidRPr="002B0DB5">
        <w:rPr>
          <w:rFonts w:ascii="Arial" w:hAnsi="Arial" w:cs="Arial"/>
          <w:sz w:val="24"/>
          <w:szCs w:val="24"/>
        </w:rPr>
        <w:t xml:space="preserve"> </w:t>
      </w:r>
      <w:r w:rsidR="00066204" w:rsidRPr="002B0DB5">
        <w:rPr>
          <w:rFonts w:ascii="Arial" w:hAnsi="Arial" w:cs="Arial"/>
          <w:sz w:val="24"/>
          <w:szCs w:val="24"/>
        </w:rPr>
        <w:t>and</w:t>
      </w:r>
      <w:r w:rsidR="006C384A" w:rsidRPr="002B0DB5">
        <w:rPr>
          <w:rFonts w:ascii="Arial" w:hAnsi="Arial" w:cs="Arial"/>
          <w:sz w:val="24"/>
          <w:szCs w:val="24"/>
        </w:rPr>
        <w:t xml:space="preserve"> just under</w:t>
      </w:r>
      <w:r w:rsidR="00066204" w:rsidRPr="002B0DB5">
        <w:rPr>
          <w:rFonts w:ascii="Arial" w:hAnsi="Arial" w:cs="Arial"/>
          <w:sz w:val="24"/>
          <w:szCs w:val="24"/>
        </w:rPr>
        <w:t xml:space="preserve"> </w:t>
      </w:r>
      <w:r w:rsidR="005F7F6C" w:rsidRPr="002B0DB5">
        <w:rPr>
          <w:rFonts w:ascii="Arial" w:hAnsi="Arial" w:cs="Arial"/>
          <w:sz w:val="24"/>
          <w:szCs w:val="24"/>
        </w:rPr>
        <w:t>60% of the</w:t>
      </w:r>
      <w:r w:rsidR="00E203A1" w:rsidRPr="002B0DB5">
        <w:rPr>
          <w:rFonts w:ascii="Arial" w:hAnsi="Arial" w:cs="Arial"/>
          <w:sz w:val="24"/>
          <w:szCs w:val="24"/>
        </w:rPr>
        <w:t xml:space="preserve">se </w:t>
      </w:r>
      <w:r w:rsidR="005F7F6C" w:rsidRPr="002B0DB5">
        <w:rPr>
          <w:rFonts w:ascii="Arial" w:hAnsi="Arial" w:cs="Arial"/>
          <w:sz w:val="24"/>
          <w:szCs w:val="24"/>
        </w:rPr>
        <w:t>claims</w:t>
      </w:r>
      <w:r w:rsidR="00E203A1" w:rsidRPr="002B0DB5">
        <w:rPr>
          <w:rFonts w:ascii="Arial" w:hAnsi="Arial" w:cs="Arial"/>
          <w:sz w:val="24"/>
          <w:szCs w:val="24"/>
        </w:rPr>
        <w:t xml:space="preserve"> were successful</w:t>
      </w:r>
      <w:r w:rsidR="006C384A" w:rsidRPr="002B0DB5">
        <w:rPr>
          <w:rFonts w:ascii="Arial" w:hAnsi="Arial" w:cs="Arial"/>
          <w:sz w:val="24"/>
          <w:szCs w:val="24"/>
        </w:rPr>
        <w:t xml:space="preserve"> (728 out of 1217</w:t>
      </w:r>
      <w:r w:rsidR="008C1E7A" w:rsidRPr="002B0DB5">
        <w:rPr>
          <w:rFonts w:ascii="Arial" w:hAnsi="Arial" w:cs="Arial"/>
          <w:sz w:val="24"/>
          <w:szCs w:val="24"/>
        </w:rPr>
        <w:t>).</w:t>
      </w:r>
      <w:r w:rsidR="00DA568D" w:rsidRPr="002B0DB5">
        <w:rPr>
          <w:rFonts w:ascii="Arial" w:hAnsi="Arial" w:cs="Arial"/>
          <w:sz w:val="24"/>
          <w:szCs w:val="24"/>
        </w:rPr>
        <w:t xml:space="preserve"> </w:t>
      </w:r>
      <w:r w:rsidR="006C384A" w:rsidRPr="002B0DB5">
        <w:rPr>
          <w:rFonts w:ascii="Arial" w:hAnsi="Arial" w:cs="Arial"/>
          <w:sz w:val="24"/>
          <w:szCs w:val="24"/>
        </w:rPr>
        <w:t xml:space="preserve"> Almost three times as many females (1217</w:t>
      </w:r>
      <w:r w:rsidR="00EB2FC2" w:rsidRPr="002B0DB5">
        <w:rPr>
          <w:rFonts w:ascii="Arial" w:hAnsi="Arial" w:cs="Arial"/>
          <w:sz w:val="24"/>
          <w:szCs w:val="24"/>
        </w:rPr>
        <w:t>)</w:t>
      </w:r>
      <w:r w:rsidR="007C1598" w:rsidRPr="002B0DB5">
        <w:rPr>
          <w:rFonts w:ascii="Arial" w:hAnsi="Arial" w:cs="Arial"/>
          <w:sz w:val="24"/>
          <w:szCs w:val="24"/>
        </w:rPr>
        <w:t xml:space="preserve"> submitted claims in comparis</w:t>
      </w:r>
      <w:r w:rsidR="00EB2FC2" w:rsidRPr="002B0DB5">
        <w:rPr>
          <w:rFonts w:ascii="Arial" w:hAnsi="Arial" w:cs="Arial"/>
          <w:sz w:val="24"/>
          <w:szCs w:val="24"/>
        </w:rPr>
        <w:t xml:space="preserve">on to </w:t>
      </w:r>
      <w:r w:rsidR="007C1598" w:rsidRPr="002B0DB5">
        <w:rPr>
          <w:rFonts w:ascii="Arial" w:hAnsi="Arial" w:cs="Arial"/>
          <w:sz w:val="24"/>
          <w:szCs w:val="24"/>
        </w:rPr>
        <w:t xml:space="preserve">their male </w:t>
      </w:r>
      <w:r w:rsidR="00DA568D" w:rsidRPr="002B0DB5">
        <w:rPr>
          <w:rFonts w:ascii="Arial" w:hAnsi="Arial" w:cs="Arial"/>
          <w:sz w:val="24"/>
          <w:szCs w:val="24"/>
        </w:rPr>
        <w:t>counterparts</w:t>
      </w:r>
      <w:r w:rsidR="006C384A" w:rsidRPr="002B0DB5">
        <w:rPr>
          <w:rFonts w:ascii="Arial" w:hAnsi="Arial" w:cs="Arial"/>
          <w:sz w:val="24"/>
          <w:szCs w:val="24"/>
        </w:rPr>
        <w:t xml:space="preserve"> (458</w:t>
      </w:r>
      <w:r w:rsidR="00E203A1" w:rsidRPr="002B0DB5">
        <w:rPr>
          <w:rFonts w:ascii="Arial" w:hAnsi="Arial" w:cs="Arial"/>
          <w:sz w:val="24"/>
          <w:szCs w:val="24"/>
        </w:rPr>
        <w:t>)</w:t>
      </w:r>
      <w:r w:rsidR="00DA568D" w:rsidRPr="002B0DB5">
        <w:rPr>
          <w:rFonts w:ascii="Arial" w:hAnsi="Arial" w:cs="Arial"/>
          <w:sz w:val="24"/>
          <w:szCs w:val="24"/>
        </w:rPr>
        <w:t>.</w:t>
      </w:r>
      <w:r w:rsidR="001D5F36" w:rsidRPr="002B0DB5">
        <w:rPr>
          <w:rFonts w:ascii="Arial" w:hAnsi="Arial" w:cs="Arial"/>
          <w:sz w:val="24"/>
          <w:szCs w:val="24"/>
        </w:rPr>
        <w:t xml:space="preserve"> That</w:t>
      </w:r>
      <w:r w:rsidR="00DA568D" w:rsidRPr="002B0DB5">
        <w:rPr>
          <w:rFonts w:ascii="Arial" w:hAnsi="Arial" w:cs="Arial"/>
          <w:sz w:val="24"/>
          <w:szCs w:val="24"/>
        </w:rPr>
        <w:t xml:space="preserve"> equates to</w:t>
      </w:r>
      <w:r w:rsidR="00E203A1" w:rsidRPr="002B0DB5">
        <w:rPr>
          <w:rFonts w:ascii="Arial" w:hAnsi="Arial" w:cs="Arial"/>
          <w:sz w:val="24"/>
          <w:szCs w:val="24"/>
        </w:rPr>
        <w:t xml:space="preserve"> just </w:t>
      </w:r>
      <w:r w:rsidR="006C384A" w:rsidRPr="002B0DB5">
        <w:rPr>
          <w:rFonts w:ascii="Arial" w:hAnsi="Arial" w:cs="Arial"/>
          <w:sz w:val="24"/>
          <w:szCs w:val="24"/>
        </w:rPr>
        <w:t>over</w:t>
      </w:r>
      <w:r w:rsidR="00E203A1" w:rsidRPr="002B0DB5">
        <w:rPr>
          <w:rFonts w:ascii="Arial" w:hAnsi="Arial" w:cs="Arial"/>
          <w:sz w:val="24"/>
          <w:szCs w:val="24"/>
        </w:rPr>
        <w:t xml:space="preserve"> 2% more</w:t>
      </w:r>
      <w:r w:rsidR="00DA568D" w:rsidRPr="002B0DB5">
        <w:rPr>
          <w:rFonts w:ascii="Arial" w:hAnsi="Arial" w:cs="Arial"/>
          <w:sz w:val="24"/>
          <w:szCs w:val="24"/>
        </w:rPr>
        <w:t xml:space="preserve"> of the female than male UEL population. Female com</w:t>
      </w:r>
      <w:r w:rsidR="006C384A" w:rsidRPr="002B0DB5">
        <w:rPr>
          <w:rFonts w:ascii="Arial" w:hAnsi="Arial" w:cs="Arial"/>
          <w:sz w:val="24"/>
          <w:szCs w:val="24"/>
        </w:rPr>
        <w:t>ponent claims were just over 8</w:t>
      </w:r>
      <w:r w:rsidR="00DA568D" w:rsidRPr="002B0DB5">
        <w:rPr>
          <w:rFonts w:ascii="Arial" w:hAnsi="Arial" w:cs="Arial"/>
          <w:sz w:val="24"/>
          <w:szCs w:val="24"/>
        </w:rPr>
        <w:t>% more successful than males.</w:t>
      </w:r>
    </w:p>
    <w:p w:rsidR="00993938" w:rsidRDefault="00993938" w:rsidP="00E87F05">
      <w:pPr>
        <w:pStyle w:val="ListParagraph"/>
        <w:ind w:left="709"/>
        <w:rPr>
          <w:rFonts w:ascii="Arial" w:hAnsi="Arial" w:cs="Arial"/>
          <w:sz w:val="24"/>
          <w:szCs w:val="24"/>
        </w:rPr>
      </w:pPr>
    </w:p>
    <w:p w:rsidR="00E92838" w:rsidRDefault="00E92838" w:rsidP="00E87F05">
      <w:pPr>
        <w:pStyle w:val="ListParagraph"/>
        <w:ind w:left="709"/>
        <w:rPr>
          <w:rFonts w:ascii="Arial" w:hAnsi="Arial" w:cs="Arial"/>
          <w:sz w:val="24"/>
          <w:szCs w:val="24"/>
        </w:rPr>
      </w:pPr>
    </w:p>
    <w:p w:rsidR="00E92838" w:rsidRDefault="00E92838" w:rsidP="00E87F05">
      <w:pPr>
        <w:pStyle w:val="ListParagraph"/>
        <w:ind w:left="709"/>
        <w:rPr>
          <w:rFonts w:ascii="Arial" w:hAnsi="Arial" w:cs="Arial"/>
          <w:sz w:val="24"/>
          <w:szCs w:val="24"/>
        </w:rPr>
      </w:pPr>
    </w:p>
    <w:p w:rsidR="00DB205F" w:rsidRDefault="00DB205F" w:rsidP="00E87F05">
      <w:pPr>
        <w:pStyle w:val="ListParagraph"/>
        <w:ind w:left="709"/>
        <w:rPr>
          <w:rFonts w:ascii="Arial" w:hAnsi="Arial" w:cs="Arial"/>
          <w:sz w:val="24"/>
          <w:szCs w:val="24"/>
        </w:rPr>
      </w:pPr>
    </w:p>
    <w:p w:rsidR="00DB205F" w:rsidRDefault="00DB205F" w:rsidP="00E87F05">
      <w:pPr>
        <w:pStyle w:val="ListParagraph"/>
        <w:ind w:left="709"/>
        <w:rPr>
          <w:rFonts w:ascii="Arial" w:hAnsi="Arial" w:cs="Arial"/>
          <w:sz w:val="24"/>
          <w:szCs w:val="24"/>
        </w:rPr>
      </w:pPr>
    </w:p>
    <w:p w:rsidR="00DB205F" w:rsidRPr="00A216FF" w:rsidRDefault="00DB205F" w:rsidP="00E87F05">
      <w:pPr>
        <w:pStyle w:val="ListParagraph"/>
        <w:ind w:left="709"/>
        <w:rPr>
          <w:rFonts w:ascii="Arial" w:hAnsi="Arial" w:cs="Arial"/>
          <w:sz w:val="24"/>
          <w:szCs w:val="24"/>
        </w:rPr>
      </w:pPr>
    </w:p>
    <w:p w:rsidR="005112D6" w:rsidRPr="00F07D8C" w:rsidRDefault="005F6888" w:rsidP="00E87F05">
      <w:pPr>
        <w:rPr>
          <w:rFonts w:ascii="Arial" w:hAnsi="Arial" w:cs="Arial"/>
          <w:sz w:val="24"/>
          <w:szCs w:val="24"/>
        </w:rPr>
      </w:pPr>
      <w:r w:rsidRPr="00F07D8C">
        <w:rPr>
          <w:rFonts w:ascii="Arial" w:hAnsi="Arial" w:cs="Arial"/>
          <w:sz w:val="24"/>
          <w:szCs w:val="24"/>
        </w:rPr>
        <w:lastRenderedPageBreak/>
        <w:t>5.</w:t>
      </w:r>
      <w:r w:rsidR="004C21C6" w:rsidRPr="00F07D8C">
        <w:rPr>
          <w:rFonts w:ascii="Arial" w:hAnsi="Arial" w:cs="Arial"/>
          <w:sz w:val="24"/>
          <w:szCs w:val="24"/>
        </w:rPr>
        <w:t>4</w:t>
      </w:r>
      <w:r w:rsidRPr="00F07D8C">
        <w:rPr>
          <w:rFonts w:ascii="Arial" w:hAnsi="Arial" w:cs="Arial"/>
          <w:sz w:val="24"/>
          <w:szCs w:val="24"/>
        </w:rPr>
        <w:tab/>
        <w:t>Ethnicity</w:t>
      </w:r>
    </w:p>
    <w:p w:rsidR="00E92838" w:rsidRPr="006C384A" w:rsidRDefault="005F6888" w:rsidP="006C384A">
      <w:pPr>
        <w:ind w:left="709"/>
        <w:rPr>
          <w:rFonts w:ascii="Arial" w:hAnsi="Arial" w:cs="Arial"/>
          <w:sz w:val="24"/>
          <w:szCs w:val="24"/>
        </w:rPr>
      </w:pPr>
      <w:r w:rsidRPr="00A216FF">
        <w:rPr>
          <w:rFonts w:ascii="Arial" w:hAnsi="Arial" w:cs="Arial"/>
          <w:sz w:val="24"/>
          <w:szCs w:val="24"/>
        </w:rPr>
        <w:t xml:space="preserve">Table </w:t>
      </w:r>
      <w:r w:rsidR="006D2F98" w:rsidRPr="00A216FF">
        <w:rPr>
          <w:rFonts w:ascii="Arial" w:hAnsi="Arial" w:cs="Arial"/>
          <w:sz w:val="24"/>
          <w:szCs w:val="24"/>
        </w:rPr>
        <w:t>5</w:t>
      </w:r>
      <w:r w:rsidRPr="00A216FF">
        <w:rPr>
          <w:rFonts w:ascii="Arial" w:hAnsi="Arial" w:cs="Arial"/>
          <w:sz w:val="24"/>
          <w:szCs w:val="24"/>
        </w:rPr>
        <w:t xml:space="preserve">b </w:t>
      </w:r>
      <w:r w:rsidR="00DB205F">
        <w:rPr>
          <w:rFonts w:ascii="Arial" w:hAnsi="Arial" w:cs="Arial"/>
          <w:sz w:val="24"/>
          <w:szCs w:val="24"/>
        </w:rPr>
        <w:t>below</w:t>
      </w:r>
      <w:r w:rsidRPr="00A216FF">
        <w:rPr>
          <w:rFonts w:ascii="Arial" w:hAnsi="Arial" w:cs="Arial"/>
          <w:sz w:val="24"/>
          <w:szCs w:val="24"/>
        </w:rPr>
        <w:t xml:space="preserve"> provides a breakdown by ethnicity of the number of extenuation claims received during </w:t>
      </w:r>
      <w:r w:rsidR="0095209A">
        <w:rPr>
          <w:rFonts w:ascii="Arial" w:hAnsi="Arial" w:cs="Arial"/>
          <w:sz w:val="24"/>
          <w:szCs w:val="24"/>
        </w:rPr>
        <w:t>2014-15</w:t>
      </w:r>
      <w:r w:rsidRPr="00A216FF">
        <w:rPr>
          <w:rFonts w:ascii="Arial" w:hAnsi="Arial" w:cs="Arial"/>
          <w:sz w:val="24"/>
          <w:szCs w:val="24"/>
        </w:rPr>
        <w:t>, and the number of stud</w:t>
      </w:r>
      <w:r w:rsidR="00E92838">
        <w:rPr>
          <w:rFonts w:ascii="Arial" w:hAnsi="Arial" w:cs="Arial"/>
          <w:sz w:val="24"/>
          <w:szCs w:val="24"/>
        </w:rPr>
        <w:t>ents who submitted these claims.</w:t>
      </w:r>
    </w:p>
    <w:tbl>
      <w:tblPr>
        <w:tblW w:w="9950" w:type="dxa"/>
        <w:tblLook w:val="04A0" w:firstRow="1" w:lastRow="0" w:firstColumn="1" w:lastColumn="0" w:noHBand="0" w:noVBand="1"/>
      </w:tblPr>
      <w:tblGrid>
        <w:gridCol w:w="1500"/>
        <w:gridCol w:w="1500"/>
        <w:gridCol w:w="1080"/>
        <w:gridCol w:w="1020"/>
        <w:gridCol w:w="1020"/>
        <w:gridCol w:w="1020"/>
        <w:gridCol w:w="1009"/>
        <w:gridCol w:w="1026"/>
        <w:gridCol w:w="1000"/>
      </w:tblGrid>
      <w:tr w:rsidR="001226FD" w:rsidRPr="001226FD" w:rsidTr="001226FD">
        <w:trPr>
          <w:trHeight w:val="300"/>
        </w:trPr>
        <w:tc>
          <w:tcPr>
            <w:tcW w:w="150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w:t>
            </w:r>
          </w:p>
        </w:tc>
        <w:tc>
          <w:tcPr>
            <w:tcW w:w="1500"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Component claims</w:t>
            </w:r>
          </w:p>
        </w:tc>
        <w:tc>
          <w:tcPr>
            <w:tcW w:w="10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Accepted</w:t>
            </w:r>
          </w:p>
        </w:tc>
        <w:tc>
          <w:tcPr>
            <w:tcW w:w="1020"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Rejected</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Accept</w:t>
            </w:r>
          </w:p>
        </w:tc>
        <w:tc>
          <w:tcPr>
            <w:tcW w:w="1020"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No. students who applied</w:t>
            </w:r>
          </w:p>
        </w:tc>
        <w:tc>
          <w:tcPr>
            <w:tcW w:w="9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students enrolled</w:t>
            </w:r>
          </w:p>
        </w:tc>
        <w:tc>
          <w:tcPr>
            <w:tcW w:w="83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Students who applied</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Asian</w:t>
            </w:r>
          </w:p>
        </w:tc>
        <w:tc>
          <w:tcPr>
            <w:tcW w:w="15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326</w:t>
            </w:r>
          </w:p>
        </w:tc>
        <w:tc>
          <w:tcPr>
            <w:tcW w:w="108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183</w:t>
            </w:r>
          </w:p>
        </w:tc>
        <w:tc>
          <w:tcPr>
            <w:tcW w:w="1020" w:type="dxa"/>
            <w:tcBorders>
              <w:top w:val="nil"/>
              <w:left w:val="nil"/>
              <w:bottom w:val="nil"/>
              <w:right w:val="nil"/>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143</w:t>
            </w:r>
          </w:p>
        </w:tc>
        <w:tc>
          <w:tcPr>
            <w:tcW w:w="102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56.13%</w:t>
            </w:r>
          </w:p>
        </w:tc>
        <w:tc>
          <w:tcPr>
            <w:tcW w:w="102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147</w:t>
            </w:r>
          </w:p>
        </w:tc>
        <w:tc>
          <w:tcPr>
            <w:tcW w:w="98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 xml:space="preserve">       2,886 </w:t>
            </w:r>
          </w:p>
        </w:tc>
        <w:tc>
          <w:tcPr>
            <w:tcW w:w="830" w:type="dxa"/>
            <w:tcBorders>
              <w:top w:val="nil"/>
              <w:left w:val="nil"/>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5.09%</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Black</w:t>
            </w:r>
          </w:p>
        </w:tc>
        <w:tc>
          <w:tcPr>
            <w:tcW w:w="150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770</w:t>
            </w:r>
          </w:p>
        </w:tc>
        <w:tc>
          <w:tcPr>
            <w:tcW w:w="108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436</w:t>
            </w:r>
          </w:p>
        </w:tc>
        <w:tc>
          <w:tcPr>
            <w:tcW w:w="1020" w:type="dxa"/>
            <w:tcBorders>
              <w:top w:val="nil"/>
              <w:left w:val="nil"/>
              <w:bottom w:val="nil"/>
              <w:right w:val="nil"/>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330</w:t>
            </w:r>
          </w:p>
        </w:tc>
        <w:tc>
          <w:tcPr>
            <w:tcW w:w="102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56.62%</w:t>
            </w:r>
          </w:p>
        </w:tc>
        <w:tc>
          <w:tcPr>
            <w:tcW w:w="102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342</w:t>
            </w:r>
          </w:p>
        </w:tc>
        <w:tc>
          <w:tcPr>
            <w:tcW w:w="98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 xml:space="preserve">       4,621 </w:t>
            </w:r>
          </w:p>
        </w:tc>
        <w:tc>
          <w:tcPr>
            <w:tcW w:w="830" w:type="dxa"/>
            <w:tcBorders>
              <w:top w:val="nil"/>
              <w:left w:val="nil"/>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7.40%</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White</w:t>
            </w:r>
          </w:p>
        </w:tc>
        <w:tc>
          <w:tcPr>
            <w:tcW w:w="15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305</w:t>
            </w:r>
          </w:p>
        </w:tc>
        <w:tc>
          <w:tcPr>
            <w:tcW w:w="108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182</w:t>
            </w:r>
          </w:p>
        </w:tc>
        <w:tc>
          <w:tcPr>
            <w:tcW w:w="1020" w:type="dxa"/>
            <w:tcBorders>
              <w:top w:val="nil"/>
              <w:left w:val="nil"/>
              <w:bottom w:val="nil"/>
              <w:right w:val="nil"/>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123</w:t>
            </w:r>
          </w:p>
        </w:tc>
        <w:tc>
          <w:tcPr>
            <w:tcW w:w="102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59.67%</w:t>
            </w:r>
          </w:p>
        </w:tc>
        <w:tc>
          <w:tcPr>
            <w:tcW w:w="102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139</w:t>
            </w:r>
          </w:p>
        </w:tc>
        <w:tc>
          <w:tcPr>
            <w:tcW w:w="98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 xml:space="preserve">       4,119 </w:t>
            </w:r>
          </w:p>
        </w:tc>
        <w:tc>
          <w:tcPr>
            <w:tcW w:w="830" w:type="dxa"/>
            <w:tcBorders>
              <w:top w:val="nil"/>
              <w:left w:val="nil"/>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3.37%</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Mixed</w:t>
            </w:r>
          </w:p>
        </w:tc>
        <w:tc>
          <w:tcPr>
            <w:tcW w:w="150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115</w:t>
            </w:r>
          </w:p>
        </w:tc>
        <w:tc>
          <w:tcPr>
            <w:tcW w:w="108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65</w:t>
            </w:r>
          </w:p>
        </w:tc>
        <w:tc>
          <w:tcPr>
            <w:tcW w:w="1020" w:type="dxa"/>
            <w:tcBorders>
              <w:top w:val="nil"/>
              <w:left w:val="nil"/>
              <w:bottom w:val="nil"/>
              <w:right w:val="nil"/>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50</w:t>
            </w:r>
          </w:p>
        </w:tc>
        <w:tc>
          <w:tcPr>
            <w:tcW w:w="102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56.52%</w:t>
            </w:r>
          </w:p>
        </w:tc>
        <w:tc>
          <w:tcPr>
            <w:tcW w:w="102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57</w:t>
            </w:r>
          </w:p>
        </w:tc>
        <w:tc>
          <w:tcPr>
            <w:tcW w:w="98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 xml:space="preserve">          885 </w:t>
            </w:r>
          </w:p>
        </w:tc>
        <w:tc>
          <w:tcPr>
            <w:tcW w:w="830" w:type="dxa"/>
            <w:tcBorders>
              <w:top w:val="nil"/>
              <w:left w:val="nil"/>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6.44%</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0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Other</w:t>
            </w:r>
          </w:p>
        </w:tc>
        <w:tc>
          <w:tcPr>
            <w:tcW w:w="15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119</w:t>
            </w:r>
          </w:p>
        </w:tc>
        <w:tc>
          <w:tcPr>
            <w:tcW w:w="108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86</w:t>
            </w:r>
          </w:p>
        </w:tc>
        <w:tc>
          <w:tcPr>
            <w:tcW w:w="1020" w:type="dxa"/>
            <w:tcBorders>
              <w:top w:val="nil"/>
              <w:left w:val="nil"/>
              <w:bottom w:val="nil"/>
              <w:right w:val="nil"/>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33</w:t>
            </w:r>
          </w:p>
        </w:tc>
        <w:tc>
          <w:tcPr>
            <w:tcW w:w="1020" w:type="dxa"/>
            <w:tcBorders>
              <w:top w:val="nil"/>
              <w:left w:val="single" w:sz="8" w:space="0" w:color="auto"/>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72.27%</w:t>
            </w:r>
          </w:p>
        </w:tc>
        <w:tc>
          <w:tcPr>
            <w:tcW w:w="102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45</w:t>
            </w:r>
          </w:p>
        </w:tc>
        <w:tc>
          <w:tcPr>
            <w:tcW w:w="980"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 xml:space="preserve">          726 </w:t>
            </w:r>
          </w:p>
        </w:tc>
        <w:tc>
          <w:tcPr>
            <w:tcW w:w="830" w:type="dxa"/>
            <w:tcBorders>
              <w:top w:val="nil"/>
              <w:left w:val="nil"/>
              <w:bottom w:val="nil"/>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6.20%</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0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Unknown</w:t>
            </w:r>
          </w:p>
        </w:tc>
        <w:tc>
          <w:tcPr>
            <w:tcW w:w="150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43</w:t>
            </w:r>
          </w:p>
        </w:tc>
        <w:tc>
          <w:tcPr>
            <w:tcW w:w="108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14</w:t>
            </w:r>
          </w:p>
        </w:tc>
        <w:tc>
          <w:tcPr>
            <w:tcW w:w="1020" w:type="dxa"/>
            <w:tcBorders>
              <w:top w:val="nil"/>
              <w:left w:val="nil"/>
              <w:bottom w:val="nil"/>
              <w:right w:val="nil"/>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29</w:t>
            </w:r>
          </w:p>
        </w:tc>
        <w:tc>
          <w:tcPr>
            <w:tcW w:w="1020" w:type="dxa"/>
            <w:tcBorders>
              <w:top w:val="nil"/>
              <w:left w:val="single" w:sz="8" w:space="0" w:color="auto"/>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32.56%</w:t>
            </w:r>
          </w:p>
        </w:tc>
        <w:tc>
          <w:tcPr>
            <w:tcW w:w="1020" w:type="dxa"/>
            <w:tcBorders>
              <w:top w:val="nil"/>
              <w:left w:val="nil"/>
              <w:bottom w:val="nil"/>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20</w:t>
            </w:r>
          </w:p>
        </w:tc>
        <w:tc>
          <w:tcPr>
            <w:tcW w:w="980"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 xml:space="preserve">          190 </w:t>
            </w:r>
          </w:p>
        </w:tc>
        <w:tc>
          <w:tcPr>
            <w:tcW w:w="830" w:type="dxa"/>
            <w:tcBorders>
              <w:top w:val="nil"/>
              <w:left w:val="nil"/>
              <w:bottom w:val="nil"/>
              <w:right w:val="single" w:sz="8" w:space="0" w:color="auto"/>
            </w:tcBorders>
            <w:shd w:val="clear" w:color="000000" w:fill="BDD7EE"/>
            <w:noWrap/>
            <w:vAlign w:val="center"/>
            <w:hideMark/>
          </w:tcPr>
          <w:p w:rsidR="007E51AB" w:rsidRDefault="007E51AB"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10.53%</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Total</w:t>
            </w:r>
          </w:p>
        </w:tc>
        <w:tc>
          <w:tcPr>
            <w:tcW w:w="1500" w:type="dxa"/>
            <w:tcBorders>
              <w:top w:val="single" w:sz="8" w:space="0" w:color="auto"/>
              <w:left w:val="nil"/>
              <w:bottom w:val="single" w:sz="8" w:space="0" w:color="auto"/>
              <w:right w:val="nil"/>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1678</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966</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708</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57.57%</w:t>
            </w:r>
          </w:p>
        </w:tc>
        <w:tc>
          <w:tcPr>
            <w:tcW w:w="1020" w:type="dxa"/>
            <w:tcBorders>
              <w:top w:val="single" w:sz="8" w:space="0" w:color="auto"/>
              <w:left w:val="nil"/>
              <w:bottom w:val="single" w:sz="8" w:space="0" w:color="auto"/>
              <w:right w:val="nil"/>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lang w:eastAsia="en-GB"/>
              </w:rPr>
            </w:pPr>
          </w:p>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750</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13,427</w:t>
            </w:r>
          </w:p>
        </w:tc>
        <w:tc>
          <w:tcPr>
            <w:tcW w:w="830" w:type="dxa"/>
            <w:tcBorders>
              <w:top w:val="single" w:sz="8" w:space="0" w:color="auto"/>
              <w:left w:val="nil"/>
              <w:bottom w:val="single" w:sz="8" w:space="0" w:color="auto"/>
              <w:right w:val="single" w:sz="8" w:space="0" w:color="auto"/>
            </w:tcBorders>
            <w:shd w:val="clear" w:color="auto" w:fill="auto"/>
            <w:noWrap/>
            <w:vAlign w:val="center"/>
            <w:hideMark/>
          </w:tcPr>
          <w:p w:rsidR="007E51AB" w:rsidRDefault="007E51AB" w:rsidP="001226FD">
            <w:pPr>
              <w:spacing w:after="0" w:line="240" w:lineRule="auto"/>
              <w:jc w:val="center"/>
              <w:rPr>
                <w:rFonts w:ascii="Calibri" w:eastAsia="Times New Roman" w:hAnsi="Calibri" w:cs="Times New Roman"/>
                <w:b/>
                <w:bCs/>
                <w:color w:val="000000"/>
                <w:lang w:eastAsia="en-GB"/>
              </w:rPr>
            </w:pPr>
          </w:p>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5.59%</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bl>
    <w:p w:rsidR="001226FD" w:rsidRDefault="00993938" w:rsidP="00E87F05">
      <w:pPr>
        <w:spacing w:after="0"/>
        <w:ind w:left="-284"/>
        <w:rPr>
          <w:rFonts w:ascii="Arial" w:hAnsi="Arial" w:cs="Arial"/>
          <w:b/>
          <w:sz w:val="24"/>
          <w:szCs w:val="24"/>
        </w:rPr>
      </w:pPr>
      <w:r>
        <w:rPr>
          <w:rFonts w:ascii="Arial" w:hAnsi="Arial" w:cs="Arial"/>
          <w:b/>
          <w:sz w:val="24"/>
          <w:szCs w:val="24"/>
        </w:rPr>
        <w:tab/>
      </w:r>
      <w:r>
        <w:rPr>
          <w:rFonts w:ascii="Arial" w:hAnsi="Arial" w:cs="Arial"/>
          <w:b/>
          <w:sz w:val="24"/>
          <w:szCs w:val="24"/>
        </w:rPr>
        <w:tab/>
      </w:r>
    </w:p>
    <w:p w:rsidR="001226FD" w:rsidRDefault="001226FD" w:rsidP="00E87F05">
      <w:pPr>
        <w:spacing w:after="0"/>
        <w:ind w:left="-284"/>
        <w:rPr>
          <w:rFonts w:ascii="Arial" w:hAnsi="Arial" w:cs="Arial"/>
          <w:b/>
          <w:sz w:val="24"/>
          <w:szCs w:val="24"/>
        </w:rPr>
      </w:pPr>
    </w:p>
    <w:p w:rsidR="005F6888" w:rsidRDefault="001226FD" w:rsidP="001226FD">
      <w:pPr>
        <w:spacing w:after="0"/>
        <w:ind w:left="-284"/>
        <w:rPr>
          <w:rFonts w:ascii="Arial" w:hAnsi="Arial" w:cs="Arial"/>
          <w:b/>
          <w:sz w:val="24"/>
          <w:szCs w:val="24"/>
        </w:rPr>
      </w:pPr>
      <w:r>
        <w:rPr>
          <w:rFonts w:ascii="Arial" w:hAnsi="Arial" w:cs="Arial"/>
          <w:b/>
          <w:sz w:val="24"/>
          <w:szCs w:val="24"/>
        </w:rPr>
        <w:tab/>
      </w:r>
      <w:r>
        <w:rPr>
          <w:rFonts w:ascii="Arial" w:hAnsi="Arial" w:cs="Arial"/>
          <w:b/>
          <w:sz w:val="24"/>
          <w:szCs w:val="24"/>
        </w:rPr>
        <w:tab/>
      </w:r>
      <w:r w:rsidR="006059AD">
        <w:rPr>
          <w:rFonts w:ascii="Arial" w:hAnsi="Arial" w:cs="Arial"/>
          <w:b/>
          <w:sz w:val="24"/>
          <w:szCs w:val="24"/>
        </w:rPr>
        <w:t>Table 5b: E</w:t>
      </w:r>
      <w:r w:rsidR="006D2F98" w:rsidRPr="00A216FF">
        <w:rPr>
          <w:rFonts w:ascii="Arial" w:hAnsi="Arial" w:cs="Arial"/>
          <w:b/>
          <w:sz w:val="24"/>
          <w:szCs w:val="24"/>
        </w:rPr>
        <w:t xml:space="preserve">xtenuation claims by ethnicity </w:t>
      </w:r>
      <w:r w:rsidR="0095209A">
        <w:rPr>
          <w:rFonts w:ascii="Arial" w:hAnsi="Arial" w:cs="Arial"/>
          <w:b/>
          <w:sz w:val="24"/>
          <w:szCs w:val="24"/>
        </w:rPr>
        <w:t>2014-15</w:t>
      </w:r>
    </w:p>
    <w:p w:rsidR="00E92838" w:rsidRPr="001226FD" w:rsidRDefault="00E92838" w:rsidP="001226FD">
      <w:pPr>
        <w:spacing w:after="0"/>
        <w:ind w:left="-284"/>
        <w:rPr>
          <w:rFonts w:ascii="Arial" w:hAnsi="Arial" w:cs="Arial"/>
          <w:b/>
          <w:sz w:val="24"/>
          <w:szCs w:val="24"/>
        </w:rPr>
      </w:pPr>
    </w:p>
    <w:p w:rsidR="00E92838" w:rsidRDefault="00EA5E0E" w:rsidP="001226FD">
      <w:pPr>
        <w:ind w:left="709"/>
        <w:rPr>
          <w:rFonts w:ascii="Arial" w:hAnsi="Arial" w:cs="Arial"/>
          <w:sz w:val="24"/>
          <w:szCs w:val="24"/>
        </w:rPr>
      </w:pPr>
      <w:r w:rsidRPr="002B0DB5">
        <w:rPr>
          <w:rFonts w:ascii="Arial" w:hAnsi="Arial" w:cs="Arial"/>
          <w:sz w:val="24"/>
          <w:szCs w:val="24"/>
        </w:rPr>
        <w:t xml:space="preserve">When all ethnic groups are analysed </w:t>
      </w:r>
      <w:r w:rsidR="006C384A" w:rsidRPr="002B0DB5">
        <w:rPr>
          <w:rFonts w:ascii="Arial" w:hAnsi="Arial" w:cs="Arial"/>
          <w:sz w:val="24"/>
          <w:szCs w:val="24"/>
        </w:rPr>
        <w:t>just under 6</w:t>
      </w:r>
      <w:r w:rsidRPr="002B0DB5">
        <w:rPr>
          <w:rFonts w:ascii="Arial" w:hAnsi="Arial" w:cs="Arial"/>
          <w:sz w:val="24"/>
          <w:szCs w:val="24"/>
        </w:rPr>
        <w:t xml:space="preserve">% of the total UEL population submitted an extenuating circumstances claim. Further analysis of the </w:t>
      </w:r>
      <w:r w:rsidR="00DA568D" w:rsidRPr="002B0DB5">
        <w:rPr>
          <w:rFonts w:ascii="Arial" w:hAnsi="Arial" w:cs="Arial"/>
          <w:sz w:val="24"/>
          <w:szCs w:val="24"/>
        </w:rPr>
        <w:t>data highlights that</w:t>
      </w:r>
      <w:r w:rsidR="0095209A" w:rsidRPr="002B0DB5">
        <w:rPr>
          <w:rFonts w:ascii="Arial" w:hAnsi="Arial" w:cs="Arial"/>
          <w:sz w:val="24"/>
          <w:szCs w:val="24"/>
        </w:rPr>
        <w:t xml:space="preserve"> </w:t>
      </w:r>
      <w:r w:rsidR="002B0DB5" w:rsidRPr="002B0DB5">
        <w:rPr>
          <w:rFonts w:ascii="Arial" w:hAnsi="Arial" w:cs="Arial"/>
          <w:sz w:val="24"/>
          <w:szCs w:val="24"/>
        </w:rPr>
        <w:t xml:space="preserve">just </w:t>
      </w:r>
      <w:r w:rsidR="006C384A" w:rsidRPr="002B0DB5">
        <w:rPr>
          <w:rFonts w:ascii="Arial" w:hAnsi="Arial" w:cs="Arial"/>
          <w:sz w:val="24"/>
          <w:szCs w:val="24"/>
        </w:rPr>
        <w:t>over 7</w:t>
      </w:r>
      <w:r w:rsidRPr="002B0DB5">
        <w:rPr>
          <w:rFonts w:ascii="Arial" w:hAnsi="Arial" w:cs="Arial"/>
          <w:sz w:val="24"/>
          <w:szCs w:val="24"/>
        </w:rPr>
        <w:t xml:space="preserve">% of black students made a claim.  However the </w:t>
      </w:r>
      <w:r w:rsidR="004C21C6" w:rsidRPr="002B0DB5">
        <w:rPr>
          <w:rFonts w:ascii="Arial" w:hAnsi="Arial" w:cs="Arial"/>
          <w:sz w:val="24"/>
          <w:szCs w:val="24"/>
        </w:rPr>
        <w:t xml:space="preserve">fairly consistent success rate for all groups attested to the </w:t>
      </w:r>
      <w:r w:rsidR="004165D2" w:rsidRPr="002B0DB5">
        <w:rPr>
          <w:rFonts w:ascii="Arial" w:hAnsi="Arial" w:cs="Arial"/>
          <w:sz w:val="24"/>
          <w:szCs w:val="24"/>
        </w:rPr>
        <w:t>equity of our system</w:t>
      </w:r>
      <w:r w:rsidRPr="002B0DB5">
        <w:rPr>
          <w:rFonts w:ascii="Arial" w:hAnsi="Arial" w:cs="Arial"/>
          <w:sz w:val="24"/>
          <w:szCs w:val="24"/>
        </w:rPr>
        <w:t>.</w:t>
      </w:r>
    </w:p>
    <w:p w:rsidR="0094084A" w:rsidRPr="00F07D8C" w:rsidRDefault="0094084A" w:rsidP="005943E4">
      <w:pPr>
        <w:tabs>
          <w:tab w:val="left" w:pos="720"/>
          <w:tab w:val="left" w:pos="1440"/>
          <w:tab w:val="left" w:pos="2160"/>
          <w:tab w:val="left" w:pos="2820"/>
        </w:tabs>
        <w:ind w:left="709"/>
        <w:rPr>
          <w:rFonts w:ascii="Arial" w:hAnsi="Arial" w:cs="Arial"/>
          <w:sz w:val="24"/>
          <w:szCs w:val="24"/>
        </w:rPr>
      </w:pPr>
      <w:r w:rsidRPr="00F07D8C">
        <w:rPr>
          <w:rFonts w:ascii="Arial" w:hAnsi="Arial" w:cs="Arial"/>
          <w:sz w:val="24"/>
          <w:szCs w:val="24"/>
        </w:rPr>
        <w:t>5.4</w:t>
      </w:r>
      <w:r w:rsidRPr="00F07D8C">
        <w:rPr>
          <w:rFonts w:ascii="Arial" w:hAnsi="Arial" w:cs="Arial"/>
          <w:sz w:val="24"/>
          <w:szCs w:val="24"/>
        </w:rPr>
        <w:tab/>
        <w:t>Disability</w:t>
      </w:r>
      <w:r w:rsidR="005943E4">
        <w:rPr>
          <w:rFonts w:ascii="Arial" w:hAnsi="Arial" w:cs="Arial"/>
          <w:sz w:val="24"/>
          <w:szCs w:val="24"/>
        </w:rPr>
        <w:tab/>
      </w:r>
    </w:p>
    <w:p w:rsidR="00E92838" w:rsidRDefault="00DB205F" w:rsidP="00E87F05">
      <w:pPr>
        <w:spacing w:after="0"/>
        <w:ind w:left="709"/>
        <w:rPr>
          <w:rFonts w:ascii="Arial" w:hAnsi="Arial" w:cs="Arial"/>
          <w:sz w:val="24"/>
          <w:szCs w:val="24"/>
        </w:rPr>
      </w:pPr>
      <w:r>
        <w:rPr>
          <w:rFonts w:ascii="Arial" w:hAnsi="Arial" w:cs="Arial"/>
          <w:sz w:val="24"/>
          <w:szCs w:val="24"/>
        </w:rPr>
        <w:t>Table 5c below</w:t>
      </w:r>
      <w:r w:rsidR="00A23975" w:rsidRPr="00A216FF">
        <w:rPr>
          <w:rFonts w:ascii="Arial" w:hAnsi="Arial" w:cs="Arial"/>
          <w:sz w:val="24"/>
          <w:szCs w:val="24"/>
        </w:rPr>
        <w:t xml:space="preserve"> provides a breakdown of claims by disability:</w:t>
      </w:r>
    </w:p>
    <w:p w:rsidR="00A216FF" w:rsidRDefault="00A216FF" w:rsidP="00E87F05">
      <w:pPr>
        <w:spacing w:after="0"/>
        <w:ind w:left="709"/>
        <w:rPr>
          <w:rFonts w:ascii="Arial" w:hAnsi="Arial" w:cs="Arial"/>
          <w:sz w:val="24"/>
          <w:szCs w:val="24"/>
        </w:rPr>
      </w:pPr>
    </w:p>
    <w:tbl>
      <w:tblPr>
        <w:tblW w:w="10002" w:type="dxa"/>
        <w:tblLook w:val="04A0" w:firstRow="1" w:lastRow="0" w:firstColumn="1" w:lastColumn="0" w:noHBand="0" w:noVBand="1"/>
      </w:tblPr>
      <w:tblGrid>
        <w:gridCol w:w="1538"/>
        <w:gridCol w:w="1500"/>
        <w:gridCol w:w="1290"/>
        <w:gridCol w:w="1020"/>
        <w:gridCol w:w="1020"/>
        <w:gridCol w:w="1026"/>
        <w:gridCol w:w="1026"/>
        <w:gridCol w:w="1026"/>
        <w:gridCol w:w="1000"/>
      </w:tblGrid>
      <w:tr w:rsidR="001226FD" w:rsidRPr="001226FD" w:rsidTr="001226FD">
        <w:trPr>
          <w:trHeight w:val="300"/>
        </w:trPr>
        <w:tc>
          <w:tcPr>
            <w:tcW w:w="1538"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 </w:t>
            </w:r>
          </w:p>
        </w:tc>
        <w:tc>
          <w:tcPr>
            <w:tcW w:w="150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Component claims</w:t>
            </w:r>
          </w:p>
        </w:tc>
        <w:tc>
          <w:tcPr>
            <w:tcW w:w="1094"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Component claims</w:t>
            </w:r>
          </w:p>
        </w:tc>
        <w:tc>
          <w:tcPr>
            <w:tcW w:w="1020" w:type="dxa"/>
            <w:tcBorders>
              <w:top w:val="single" w:sz="8" w:space="0" w:color="auto"/>
              <w:left w:val="nil"/>
              <w:bottom w:val="single" w:sz="8" w:space="0" w:color="auto"/>
              <w:right w:val="nil"/>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Reject</w:t>
            </w:r>
          </w:p>
        </w:tc>
        <w:tc>
          <w:tcPr>
            <w:tcW w:w="10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Accept</w:t>
            </w:r>
          </w:p>
        </w:tc>
        <w:tc>
          <w:tcPr>
            <w:tcW w:w="102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No. Students who applied</w:t>
            </w:r>
          </w:p>
        </w:tc>
        <w:tc>
          <w:tcPr>
            <w:tcW w:w="98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Students enrolled</w:t>
            </w:r>
          </w:p>
        </w:tc>
        <w:tc>
          <w:tcPr>
            <w:tcW w:w="83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 Students who applied</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p>
        </w:tc>
      </w:tr>
      <w:tr w:rsidR="001226FD" w:rsidRPr="001226FD" w:rsidTr="001226FD">
        <w:trPr>
          <w:trHeight w:val="290"/>
        </w:trPr>
        <w:tc>
          <w:tcPr>
            <w:tcW w:w="1538"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No disability</w:t>
            </w:r>
          </w:p>
        </w:tc>
        <w:tc>
          <w:tcPr>
            <w:tcW w:w="1500"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1225</w:t>
            </w:r>
          </w:p>
        </w:tc>
        <w:tc>
          <w:tcPr>
            <w:tcW w:w="1094"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706</w:t>
            </w:r>
          </w:p>
        </w:tc>
        <w:tc>
          <w:tcPr>
            <w:tcW w:w="1020"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515</w:t>
            </w:r>
          </w:p>
        </w:tc>
        <w:tc>
          <w:tcPr>
            <w:tcW w:w="1020" w:type="dxa"/>
            <w:tcBorders>
              <w:top w:val="nil"/>
              <w:left w:val="nil"/>
              <w:bottom w:val="nil"/>
              <w:right w:val="nil"/>
            </w:tcBorders>
            <w:shd w:val="clear" w:color="auto" w:fill="auto"/>
            <w:noWrap/>
            <w:vAlign w:val="center"/>
            <w:hideMark/>
          </w:tcPr>
          <w:p w:rsidR="006C384A" w:rsidRDefault="006C384A"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57.63%</w:t>
            </w:r>
          </w:p>
        </w:tc>
        <w:tc>
          <w:tcPr>
            <w:tcW w:w="1020" w:type="dxa"/>
            <w:tcBorders>
              <w:top w:val="nil"/>
              <w:left w:val="single" w:sz="8" w:space="0" w:color="auto"/>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lang w:eastAsia="en-GB"/>
              </w:rPr>
            </w:pPr>
            <w:r w:rsidRPr="001226FD">
              <w:rPr>
                <w:rFonts w:ascii="Calibri" w:eastAsia="Times New Roman" w:hAnsi="Calibri" w:cs="Times New Roman"/>
                <w:lang w:eastAsia="en-GB"/>
              </w:rPr>
              <w:t>580</w:t>
            </w:r>
          </w:p>
        </w:tc>
        <w:tc>
          <w:tcPr>
            <w:tcW w:w="980" w:type="dxa"/>
            <w:tcBorders>
              <w:top w:val="nil"/>
              <w:left w:val="nil"/>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 xml:space="preserve">     12,052 </w:t>
            </w:r>
          </w:p>
        </w:tc>
        <w:tc>
          <w:tcPr>
            <w:tcW w:w="830" w:type="dxa"/>
            <w:tcBorders>
              <w:top w:val="nil"/>
              <w:left w:val="nil"/>
              <w:bottom w:val="nil"/>
              <w:right w:val="single" w:sz="8" w:space="0" w:color="auto"/>
            </w:tcBorders>
            <w:shd w:val="clear" w:color="auto" w:fill="auto"/>
            <w:noWrap/>
            <w:vAlign w:val="center"/>
            <w:hideMark/>
          </w:tcPr>
          <w:p w:rsidR="006C384A" w:rsidRDefault="006C384A"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4.81%</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290"/>
        </w:trPr>
        <w:tc>
          <w:tcPr>
            <w:tcW w:w="1538" w:type="dxa"/>
            <w:tcBorders>
              <w:top w:val="nil"/>
              <w:left w:val="single" w:sz="8" w:space="0" w:color="auto"/>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Known disability</w:t>
            </w:r>
          </w:p>
        </w:tc>
        <w:tc>
          <w:tcPr>
            <w:tcW w:w="1500" w:type="dxa"/>
            <w:tcBorders>
              <w:top w:val="nil"/>
              <w:left w:val="nil"/>
              <w:bottom w:val="nil"/>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439</w:t>
            </w:r>
          </w:p>
        </w:tc>
        <w:tc>
          <w:tcPr>
            <w:tcW w:w="1094" w:type="dxa"/>
            <w:tcBorders>
              <w:top w:val="nil"/>
              <w:left w:val="nil"/>
              <w:bottom w:val="nil"/>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255</w:t>
            </w:r>
          </w:p>
        </w:tc>
        <w:tc>
          <w:tcPr>
            <w:tcW w:w="1020" w:type="dxa"/>
            <w:tcBorders>
              <w:top w:val="nil"/>
              <w:left w:val="nil"/>
              <w:bottom w:val="nil"/>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184</w:t>
            </w:r>
          </w:p>
        </w:tc>
        <w:tc>
          <w:tcPr>
            <w:tcW w:w="1020" w:type="dxa"/>
            <w:tcBorders>
              <w:top w:val="nil"/>
              <w:left w:val="nil"/>
              <w:bottom w:val="nil"/>
              <w:right w:val="nil"/>
            </w:tcBorders>
            <w:shd w:val="clear" w:color="000000" w:fill="BDD7EE"/>
            <w:noWrap/>
            <w:vAlign w:val="center"/>
            <w:hideMark/>
          </w:tcPr>
          <w:p w:rsidR="006C384A" w:rsidRDefault="006C384A"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58.09%</w:t>
            </w:r>
          </w:p>
        </w:tc>
        <w:tc>
          <w:tcPr>
            <w:tcW w:w="1020" w:type="dxa"/>
            <w:tcBorders>
              <w:top w:val="nil"/>
              <w:left w:val="single" w:sz="8" w:space="0" w:color="auto"/>
              <w:bottom w:val="nil"/>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lang w:eastAsia="en-GB"/>
              </w:rPr>
            </w:pPr>
            <w:r w:rsidRPr="001226FD">
              <w:rPr>
                <w:rFonts w:ascii="Calibri" w:eastAsia="Times New Roman" w:hAnsi="Calibri" w:cs="Times New Roman"/>
                <w:lang w:eastAsia="en-GB"/>
              </w:rPr>
              <w:t>162</w:t>
            </w:r>
          </w:p>
        </w:tc>
        <w:tc>
          <w:tcPr>
            <w:tcW w:w="980" w:type="dxa"/>
            <w:tcBorders>
              <w:top w:val="nil"/>
              <w:left w:val="nil"/>
              <w:bottom w:val="nil"/>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 xml:space="preserve">       1,357 </w:t>
            </w:r>
          </w:p>
        </w:tc>
        <w:tc>
          <w:tcPr>
            <w:tcW w:w="830" w:type="dxa"/>
            <w:tcBorders>
              <w:top w:val="nil"/>
              <w:left w:val="nil"/>
              <w:bottom w:val="nil"/>
              <w:right w:val="single" w:sz="8" w:space="0" w:color="auto"/>
            </w:tcBorders>
            <w:shd w:val="clear" w:color="000000" w:fill="BDD7EE"/>
            <w:noWrap/>
            <w:vAlign w:val="center"/>
            <w:hideMark/>
          </w:tcPr>
          <w:p w:rsidR="006C384A" w:rsidRDefault="006C384A"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11.94%</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38" w:type="dxa"/>
            <w:tcBorders>
              <w:top w:val="nil"/>
              <w:left w:val="single" w:sz="8" w:space="0" w:color="auto"/>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Unknown</w:t>
            </w:r>
          </w:p>
        </w:tc>
        <w:tc>
          <w:tcPr>
            <w:tcW w:w="1500"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14</w:t>
            </w:r>
          </w:p>
        </w:tc>
        <w:tc>
          <w:tcPr>
            <w:tcW w:w="1094"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5</w:t>
            </w:r>
          </w:p>
        </w:tc>
        <w:tc>
          <w:tcPr>
            <w:tcW w:w="1020" w:type="dxa"/>
            <w:tcBorders>
              <w:top w:val="nil"/>
              <w:left w:val="nil"/>
              <w:bottom w:val="nil"/>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9</w:t>
            </w:r>
          </w:p>
        </w:tc>
        <w:tc>
          <w:tcPr>
            <w:tcW w:w="1020" w:type="dxa"/>
            <w:tcBorders>
              <w:top w:val="nil"/>
              <w:left w:val="nil"/>
              <w:bottom w:val="nil"/>
              <w:right w:val="nil"/>
            </w:tcBorders>
            <w:shd w:val="clear" w:color="auto" w:fill="auto"/>
            <w:noWrap/>
            <w:vAlign w:val="center"/>
            <w:hideMark/>
          </w:tcPr>
          <w:p w:rsidR="006C384A" w:rsidRDefault="006C384A"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35.71%</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lang w:eastAsia="en-GB"/>
              </w:rPr>
            </w:pPr>
            <w:r w:rsidRPr="001226FD">
              <w:rPr>
                <w:rFonts w:ascii="Calibri" w:eastAsia="Times New Roman" w:hAnsi="Calibri" w:cs="Times New Roman"/>
                <w:lang w:eastAsia="en-GB"/>
              </w:rPr>
              <w:t>8</w:t>
            </w:r>
          </w:p>
        </w:tc>
        <w:tc>
          <w:tcPr>
            <w:tcW w:w="980" w:type="dxa"/>
            <w:tcBorders>
              <w:top w:val="nil"/>
              <w:left w:val="nil"/>
              <w:bottom w:val="nil"/>
              <w:right w:val="single" w:sz="8" w:space="0" w:color="auto"/>
            </w:tcBorders>
            <w:shd w:val="clear" w:color="auto" w:fill="auto"/>
            <w:noWrap/>
            <w:vAlign w:val="center"/>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 xml:space="preserve">            18 </w:t>
            </w:r>
          </w:p>
        </w:tc>
        <w:tc>
          <w:tcPr>
            <w:tcW w:w="830" w:type="dxa"/>
            <w:tcBorders>
              <w:top w:val="nil"/>
              <w:left w:val="nil"/>
              <w:bottom w:val="nil"/>
              <w:right w:val="single" w:sz="8" w:space="0" w:color="auto"/>
            </w:tcBorders>
            <w:shd w:val="clear" w:color="auto" w:fill="auto"/>
            <w:noWrap/>
            <w:vAlign w:val="center"/>
            <w:hideMark/>
          </w:tcPr>
          <w:p w:rsidR="006C384A" w:rsidRDefault="006C384A" w:rsidP="001226FD">
            <w:pPr>
              <w:spacing w:after="0" w:line="240" w:lineRule="auto"/>
              <w:jc w:val="center"/>
              <w:rPr>
                <w:rFonts w:ascii="Calibri" w:eastAsia="Times New Roman" w:hAnsi="Calibri" w:cs="Times New Roman"/>
                <w:color w:val="000000"/>
                <w:lang w:eastAsia="en-GB"/>
              </w:rPr>
            </w:pPr>
          </w:p>
          <w:p w:rsidR="001226FD" w:rsidRPr="001226FD" w:rsidRDefault="001226FD" w:rsidP="001226FD">
            <w:pPr>
              <w:spacing w:after="0" w:line="240" w:lineRule="auto"/>
              <w:jc w:val="center"/>
              <w:rPr>
                <w:rFonts w:ascii="Calibri" w:eastAsia="Times New Roman" w:hAnsi="Calibri" w:cs="Times New Roman"/>
                <w:color w:val="000000"/>
                <w:lang w:eastAsia="en-GB"/>
              </w:rPr>
            </w:pPr>
            <w:r w:rsidRPr="001226FD">
              <w:rPr>
                <w:rFonts w:ascii="Calibri" w:eastAsia="Times New Roman" w:hAnsi="Calibri" w:cs="Times New Roman"/>
                <w:color w:val="000000"/>
                <w:lang w:eastAsia="en-GB"/>
              </w:rPr>
              <w:t>44.44%</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color w:val="000000"/>
                <w:lang w:eastAsia="en-GB"/>
              </w:rPr>
            </w:pPr>
          </w:p>
        </w:tc>
      </w:tr>
      <w:tr w:rsidR="001226FD" w:rsidRPr="001226FD" w:rsidTr="001226FD">
        <w:trPr>
          <w:trHeight w:val="300"/>
        </w:trPr>
        <w:tc>
          <w:tcPr>
            <w:tcW w:w="1538"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Total</w:t>
            </w:r>
          </w:p>
        </w:tc>
        <w:tc>
          <w:tcPr>
            <w:tcW w:w="1500" w:type="dxa"/>
            <w:tcBorders>
              <w:top w:val="single" w:sz="8" w:space="0" w:color="auto"/>
              <w:left w:val="nil"/>
              <w:bottom w:val="single" w:sz="8" w:space="0" w:color="auto"/>
              <w:right w:val="nil"/>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1678</w:t>
            </w:r>
          </w:p>
        </w:tc>
        <w:tc>
          <w:tcPr>
            <w:tcW w:w="1094"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966</w:t>
            </w:r>
          </w:p>
        </w:tc>
        <w:tc>
          <w:tcPr>
            <w:tcW w:w="1020" w:type="dxa"/>
            <w:tcBorders>
              <w:top w:val="single" w:sz="8" w:space="0" w:color="auto"/>
              <w:left w:val="nil"/>
              <w:bottom w:val="single" w:sz="8" w:space="0" w:color="auto"/>
              <w:right w:val="single" w:sz="8" w:space="0" w:color="auto"/>
            </w:tcBorders>
            <w:shd w:val="clear" w:color="000000" w:fill="BDD7EE"/>
            <w:noWrap/>
            <w:vAlign w:val="bottom"/>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708</w:t>
            </w:r>
          </w:p>
        </w:tc>
        <w:tc>
          <w:tcPr>
            <w:tcW w:w="1020" w:type="dxa"/>
            <w:tcBorders>
              <w:top w:val="single" w:sz="8" w:space="0" w:color="auto"/>
              <w:left w:val="nil"/>
              <w:bottom w:val="single" w:sz="8" w:space="0" w:color="auto"/>
              <w:right w:val="single" w:sz="8" w:space="0" w:color="auto"/>
            </w:tcBorders>
            <w:shd w:val="clear" w:color="000000" w:fill="BDD7EE"/>
            <w:vAlign w:val="bottom"/>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57.57%</w:t>
            </w:r>
          </w:p>
        </w:tc>
        <w:tc>
          <w:tcPr>
            <w:tcW w:w="1020" w:type="dxa"/>
            <w:tcBorders>
              <w:top w:val="nil"/>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750</w:t>
            </w:r>
          </w:p>
        </w:tc>
        <w:tc>
          <w:tcPr>
            <w:tcW w:w="98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color w:val="000000"/>
                <w:lang w:eastAsia="en-GB"/>
              </w:rPr>
            </w:pPr>
            <w:r w:rsidRPr="001226FD">
              <w:rPr>
                <w:rFonts w:ascii="Calibri" w:eastAsia="Times New Roman" w:hAnsi="Calibri" w:cs="Times New Roman"/>
                <w:b/>
                <w:bCs/>
                <w:color w:val="000000"/>
                <w:lang w:eastAsia="en-GB"/>
              </w:rPr>
              <w:t>13,427</w:t>
            </w:r>
          </w:p>
        </w:tc>
        <w:tc>
          <w:tcPr>
            <w:tcW w:w="830" w:type="dxa"/>
            <w:tcBorders>
              <w:top w:val="single" w:sz="8" w:space="0" w:color="auto"/>
              <w:left w:val="nil"/>
              <w:bottom w:val="single" w:sz="8" w:space="0" w:color="auto"/>
              <w:right w:val="single" w:sz="8" w:space="0" w:color="auto"/>
            </w:tcBorders>
            <w:shd w:val="clear" w:color="000000" w:fill="BDD7EE"/>
            <w:noWrap/>
            <w:vAlign w:val="center"/>
            <w:hideMark/>
          </w:tcPr>
          <w:p w:rsidR="001226FD" w:rsidRPr="001226FD" w:rsidRDefault="001226FD" w:rsidP="001226FD">
            <w:pPr>
              <w:spacing w:after="0" w:line="240" w:lineRule="auto"/>
              <w:jc w:val="center"/>
              <w:rPr>
                <w:rFonts w:ascii="Calibri" w:eastAsia="Times New Roman" w:hAnsi="Calibri" w:cs="Times New Roman"/>
                <w:b/>
                <w:bCs/>
                <w:lang w:eastAsia="en-GB"/>
              </w:rPr>
            </w:pPr>
            <w:r w:rsidRPr="001226FD">
              <w:rPr>
                <w:rFonts w:ascii="Calibri" w:eastAsia="Times New Roman" w:hAnsi="Calibri" w:cs="Times New Roman"/>
                <w:b/>
                <w:bCs/>
                <w:lang w:eastAsia="en-GB"/>
              </w:rPr>
              <w:t>5.59%</w:t>
            </w:r>
          </w:p>
        </w:tc>
        <w:tc>
          <w:tcPr>
            <w:tcW w:w="1000" w:type="dxa"/>
            <w:tcBorders>
              <w:top w:val="nil"/>
              <w:left w:val="nil"/>
              <w:bottom w:val="nil"/>
              <w:right w:val="nil"/>
            </w:tcBorders>
            <w:shd w:val="clear" w:color="auto" w:fill="auto"/>
            <w:noWrap/>
            <w:vAlign w:val="bottom"/>
            <w:hideMark/>
          </w:tcPr>
          <w:p w:rsidR="001226FD" w:rsidRPr="001226FD" w:rsidRDefault="001226FD" w:rsidP="001226FD">
            <w:pPr>
              <w:spacing w:after="0" w:line="240" w:lineRule="auto"/>
              <w:jc w:val="center"/>
              <w:rPr>
                <w:rFonts w:ascii="Calibri" w:eastAsia="Times New Roman" w:hAnsi="Calibri" w:cs="Times New Roman"/>
                <w:b/>
                <w:bCs/>
                <w:lang w:eastAsia="en-GB"/>
              </w:rPr>
            </w:pPr>
          </w:p>
        </w:tc>
      </w:tr>
    </w:tbl>
    <w:p w:rsidR="001226FD" w:rsidRPr="00A216FF" w:rsidRDefault="001226FD" w:rsidP="00E87F05">
      <w:pPr>
        <w:spacing w:after="0"/>
        <w:ind w:left="709"/>
        <w:rPr>
          <w:rFonts w:ascii="Arial" w:hAnsi="Arial" w:cs="Arial"/>
          <w:sz w:val="24"/>
          <w:szCs w:val="24"/>
        </w:rPr>
      </w:pPr>
    </w:p>
    <w:p w:rsidR="0094084A" w:rsidRDefault="00993938" w:rsidP="00E87F05">
      <w:pPr>
        <w:spacing w:after="0"/>
        <w:rPr>
          <w:rFonts w:ascii="Arial" w:hAnsi="Arial" w:cs="Arial"/>
          <w:b/>
          <w:sz w:val="24"/>
          <w:szCs w:val="24"/>
        </w:rPr>
      </w:pPr>
      <w:r>
        <w:rPr>
          <w:rFonts w:ascii="Arial" w:hAnsi="Arial" w:cs="Arial"/>
          <w:b/>
          <w:sz w:val="24"/>
          <w:szCs w:val="24"/>
        </w:rPr>
        <w:lastRenderedPageBreak/>
        <w:tab/>
      </w:r>
      <w:r w:rsidR="006059AD">
        <w:rPr>
          <w:rFonts w:ascii="Arial" w:hAnsi="Arial" w:cs="Arial"/>
          <w:b/>
          <w:sz w:val="24"/>
          <w:szCs w:val="24"/>
        </w:rPr>
        <w:t>Table 5c: E</w:t>
      </w:r>
      <w:r w:rsidR="00A23975" w:rsidRPr="00A216FF">
        <w:rPr>
          <w:rFonts w:ascii="Arial" w:hAnsi="Arial" w:cs="Arial"/>
          <w:b/>
          <w:sz w:val="24"/>
          <w:szCs w:val="24"/>
        </w:rPr>
        <w:t xml:space="preserve">xtenuation claims by disability </w:t>
      </w:r>
      <w:r w:rsidR="0095209A">
        <w:rPr>
          <w:rFonts w:ascii="Arial" w:hAnsi="Arial" w:cs="Arial"/>
          <w:b/>
          <w:sz w:val="24"/>
          <w:szCs w:val="24"/>
        </w:rPr>
        <w:t>2014-15</w:t>
      </w:r>
    </w:p>
    <w:p w:rsidR="00DB205F" w:rsidRDefault="00DB205F" w:rsidP="00E87F05">
      <w:pPr>
        <w:ind w:left="709"/>
        <w:rPr>
          <w:rFonts w:ascii="Arial" w:hAnsi="Arial" w:cs="Arial"/>
          <w:sz w:val="24"/>
          <w:szCs w:val="24"/>
        </w:rPr>
      </w:pPr>
    </w:p>
    <w:p w:rsidR="00EA5E0E" w:rsidRPr="00A216FF" w:rsidRDefault="006C384A" w:rsidP="00E87F05">
      <w:pPr>
        <w:ind w:left="709"/>
        <w:rPr>
          <w:rFonts w:ascii="Arial" w:hAnsi="Arial" w:cs="Arial"/>
          <w:sz w:val="24"/>
          <w:szCs w:val="24"/>
        </w:rPr>
      </w:pPr>
      <w:r>
        <w:rPr>
          <w:rFonts w:ascii="Arial" w:hAnsi="Arial" w:cs="Arial"/>
          <w:sz w:val="24"/>
          <w:szCs w:val="24"/>
        </w:rPr>
        <w:t xml:space="preserve">Just under </w:t>
      </w:r>
      <w:r w:rsidR="00EA5E0E">
        <w:rPr>
          <w:rFonts w:ascii="Arial" w:hAnsi="Arial" w:cs="Arial"/>
          <w:sz w:val="24"/>
          <w:szCs w:val="24"/>
        </w:rPr>
        <w:t>5% of the total UEL population that declared no disability submitted a claim</w:t>
      </w:r>
      <w:r>
        <w:rPr>
          <w:rFonts w:ascii="Arial" w:hAnsi="Arial" w:cs="Arial"/>
          <w:sz w:val="24"/>
          <w:szCs w:val="24"/>
        </w:rPr>
        <w:t>, compared to almost 12</w:t>
      </w:r>
      <w:r w:rsidR="00355983">
        <w:rPr>
          <w:rFonts w:ascii="Arial" w:hAnsi="Arial" w:cs="Arial"/>
          <w:sz w:val="24"/>
          <w:szCs w:val="24"/>
        </w:rPr>
        <w:t>% of students that disclosed a disability. The acceptance rate of both groups is c</w:t>
      </w:r>
      <w:r w:rsidR="0095209A">
        <w:rPr>
          <w:rFonts w:ascii="Arial" w:hAnsi="Arial" w:cs="Arial"/>
          <w:sz w:val="24"/>
          <w:szCs w:val="24"/>
        </w:rPr>
        <w:t>onsistent at</w:t>
      </w:r>
      <w:r>
        <w:rPr>
          <w:rFonts w:ascii="Arial" w:hAnsi="Arial" w:cs="Arial"/>
          <w:sz w:val="24"/>
          <w:szCs w:val="24"/>
        </w:rPr>
        <w:t xml:space="preserve"> 57.63% and 58.09% </w:t>
      </w:r>
      <w:r w:rsidR="00355983">
        <w:rPr>
          <w:rFonts w:ascii="Arial" w:hAnsi="Arial" w:cs="Arial"/>
          <w:sz w:val="24"/>
          <w:szCs w:val="24"/>
        </w:rPr>
        <w:t>respectively.</w:t>
      </w:r>
    </w:p>
    <w:p w:rsidR="006C384A" w:rsidRDefault="00BC328F" w:rsidP="00E87F05">
      <w:pPr>
        <w:ind w:left="709"/>
        <w:rPr>
          <w:rFonts w:ascii="Arial" w:hAnsi="Arial" w:cs="Arial"/>
          <w:sz w:val="24"/>
          <w:szCs w:val="24"/>
        </w:rPr>
      </w:pPr>
      <w:r w:rsidRPr="00A216FF">
        <w:rPr>
          <w:rFonts w:ascii="Arial" w:hAnsi="Arial" w:cs="Arial"/>
          <w:sz w:val="24"/>
          <w:szCs w:val="24"/>
        </w:rPr>
        <w:t>Table 5d below pr</w:t>
      </w:r>
      <w:r w:rsidR="006059AD">
        <w:rPr>
          <w:rFonts w:ascii="Arial" w:hAnsi="Arial" w:cs="Arial"/>
          <w:sz w:val="24"/>
          <w:szCs w:val="24"/>
        </w:rPr>
        <w:t>ovides further information regarding</w:t>
      </w:r>
      <w:r w:rsidRPr="00A216FF">
        <w:rPr>
          <w:rFonts w:ascii="Arial" w:hAnsi="Arial" w:cs="Arial"/>
          <w:sz w:val="24"/>
          <w:szCs w:val="24"/>
        </w:rPr>
        <w:t xml:space="preserve"> the disability type of the </w:t>
      </w:r>
      <w:r w:rsidR="00D95563">
        <w:rPr>
          <w:rFonts w:ascii="Arial" w:hAnsi="Arial" w:cs="Arial"/>
          <w:sz w:val="24"/>
          <w:szCs w:val="24"/>
        </w:rPr>
        <w:t>students that submitted claims.</w:t>
      </w:r>
      <w:r w:rsidR="003B5D6C">
        <w:rPr>
          <w:rFonts w:ascii="Arial" w:hAnsi="Arial" w:cs="Arial"/>
          <w:sz w:val="24"/>
          <w:szCs w:val="24"/>
        </w:rPr>
        <w:br/>
      </w:r>
    </w:p>
    <w:tbl>
      <w:tblPr>
        <w:tblW w:w="11472" w:type="dxa"/>
        <w:tblInd w:w="-1237" w:type="dxa"/>
        <w:tblLayout w:type="fixed"/>
        <w:tblLook w:val="04A0" w:firstRow="1" w:lastRow="0" w:firstColumn="1" w:lastColumn="0" w:noHBand="0" w:noVBand="1"/>
      </w:tblPr>
      <w:tblGrid>
        <w:gridCol w:w="3251"/>
        <w:gridCol w:w="1417"/>
        <w:gridCol w:w="992"/>
        <w:gridCol w:w="1134"/>
        <w:gridCol w:w="1134"/>
        <w:gridCol w:w="1134"/>
        <w:gridCol w:w="1276"/>
        <w:gridCol w:w="1134"/>
      </w:tblGrid>
      <w:tr w:rsidR="007E51AB" w:rsidRPr="000831FB" w:rsidTr="007E51AB">
        <w:trPr>
          <w:trHeight w:val="300"/>
        </w:trPr>
        <w:tc>
          <w:tcPr>
            <w:tcW w:w="32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Disability type</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Component claims</w:t>
            </w:r>
          </w:p>
        </w:tc>
        <w:tc>
          <w:tcPr>
            <w:tcW w:w="992" w:type="dxa"/>
            <w:tcBorders>
              <w:top w:val="single" w:sz="8" w:space="0" w:color="auto"/>
              <w:left w:val="nil"/>
              <w:bottom w:val="single" w:sz="8" w:space="0" w:color="auto"/>
              <w:right w:val="single" w:sz="8" w:space="0" w:color="auto"/>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Accept</w:t>
            </w:r>
          </w:p>
        </w:tc>
        <w:tc>
          <w:tcPr>
            <w:tcW w:w="1134" w:type="dxa"/>
            <w:tcBorders>
              <w:top w:val="single" w:sz="8" w:space="0" w:color="auto"/>
              <w:left w:val="nil"/>
              <w:bottom w:val="single" w:sz="8" w:space="0" w:color="auto"/>
              <w:right w:val="single" w:sz="8" w:space="0" w:color="auto"/>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Reject</w:t>
            </w:r>
          </w:p>
        </w:tc>
        <w:tc>
          <w:tcPr>
            <w:tcW w:w="1134" w:type="dxa"/>
            <w:tcBorders>
              <w:top w:val="single" w:sz="8" w:space="0" w:color="auto"/>
              <w:left w:val="nil"/>
              <w:bottom w:val="single" w:sz="8" w:space="0" w:color="auto"/>
              <w:right w:val="nil"/>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w:t>
            </w:r>
            <w:r>
              <w:rPr>
                <w:rFonts w:ascii="Calibri" w:eastAsia="Times New Roman" w:hAnsi="Calibri" w:cs="Times New Roman"/>
                <w:b/>
                <w:bCs/>
                <w:lang w:eastAsia="en-GB"/>
              </w:rPr>
              <w:t xml:space="preserve"> </w:t>
            </w:r>
            <w:r w:rsidRPr="000831FB">
              <w:rPr>
                <w:rFonts w:ascii="Calibri" w:eastAsia="Times New Roman" w:hAnsi="Calibri" w:cs="Times New Roman"/>
                <w:b/>
                <w:bCs/>
                <w:lang w:eastAsia="en-GB"/>
              </w:rPr>
              <w:t>Accept</w:t>
            </w:r>
          </w:p>
        </w:tc>
        <w:tc>
          <w:tcPr>
            <w:tcW w:w="1134"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No. Students who applied</w:t>
            </w:r>
          </w:p>
        </w:tc>
        <w:tc>
          <w:tcPr>
            <w:tcW w:w="1276" w:type="dxa"/>
            <w:tcBorders>
              <w:top w:val="single" w:sz="8" w:space="0" w:color="auto"/>
              <w:left w:val="nil"/>
              <w:bottom w:val="single" w:sz="8" w:space="0" w:color="auto"/>
              <w:right w:val="nil"/>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No. Students enrolled</w:t>
            </w:r>
          </w:p>
        </w:tc>
        <w:tc>
          <w:tcPr>
            <w:tcW w:w="1134"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51AB" w:rsidRPr="000831FB" w:rsidRDefault="007E51AB" w:rsidP="009326A0">
            <w:pPr>
              <w:spacing w:after="0" w:line="240" w:lineRule="auto"/>
              <w:jc w:val="center"/>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 Students who applied</w:t>
            </w:r>
          </w:p>
        </w:tc>
      </w:tr>
      <w:tr w:rsidR="007E51AB" w:rsidRPr="000831FB" w:rsidTr="007E51AB">
        <w:trPr>
          <w:trHeight w:val="537"/>
        </w:trPr>
        <w:tc>
          <w:tcPr>
            <w:tcW w:w="3251" w:type="dxa"/>
            <w:tcBorders>
              <w:top w:val="nil"/>
              <w:left w:val="single" w:sz="8" w:space="0" w:color="auto"/>
              <w:bottom w:val="nil"/>
              <w:right w:val="single" w:sz="8" w:space="0" w:color="auto"/>
            </w:tcBorders>
            <w:shd w:val="clear" w:color="auto" w:fill="auto"/>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Learning difficulty</w:t>
            </w:r>
          </w:p>
        </w:tc>
        <w:tc>
          <w:tcPr>
            <w:tcW w:w="1417" w:type="dxa"/>
            <w:tcBorders>
              <w:top w:val="nil"/>
              <w:left w:val="nil"/>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150</w:t>
            </w:r>
          </w:p>
        </w:tc>
        <w:tc>
          <w:tcPr>
            <w:tcW w:w="992" w:type="dxa"/>
            <w:tcBorders>
              <w:top w:val="nil"/>
              <w:left w:val="nil"/>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72</w:t>
            </w:r>
          </w:p>
        </w:tc>
        <w:tc>
          <w:tcPr>
            <w:tcW w:w="1134" w:type="dxa"/>
            <w:tcBorders>
              <w:top w:val="nil"/>
              <w:left w:val="nil"/>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78</w:t>
            </w:r>
          </w:p>
        </w:tc>
        <w:tc>
          <w:tcPr>
            <w:tcW w:w="1134" w:type="dxa"/>
            <w:tcBorders>
              <w:top w:val="nil"/>
              <w:left w:val="single" w:sz="8" w:space="0" w:color="auto"/>
              <w:bottom w:val="single" w:sz="4" w:space="0" w:color="9BC2E6"/>
              <w:right w:val="nil"/>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48.00%</w:t>
            </w:r>
          </w:p>
        </w:tc>
        <w:tc>
          <w:tcPr>
            <w:tcW w:w="1134" w:type="dxa"/>
            <w:tcBorders>
              <w:top w:val="nil"/>
              <w:left w:val="single" w:sz="8" w:space="0" w:color="auto"/>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54</w:t>
            </w:r>
          </w:p>
        </w:tc>
        <w:tc>
          <w:tcPr>
            <w:tcW w:w="1276" w:type="dxa"/>
            <w:tcBorders>
              <w:top w:val="nil"/>
              <w:left w:val="nil"/>
              <w:bottom w:val="single" w:sz="4" w:space="0" w:color="9BC2E6"/>
              <w:right w:val="nil"/>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632</w:t>
            </w:r>
          </w:p>
        </w:tc>
        <w:tc>
          <w:tcPr>
            <w:tcW w:w="1134" w:type="dxa"/>
            <w:tcBorders>
              <w:top w:val="nil"/>
              <w:left w:val="single" w:sz="8" w:space="0" w:color="auto"/>
              <w:bottom w:val="nil"/>
              <w:right w:val="single" w:sz="8" w:space="0" w:color="auto"/>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8.54%</w:t>
            </w:r>
          </w:p>
        </w:tc>
      </w:tr>
      <w:tr w:rsidR="007E51AB" w:rsidRPr="000831FB" w:rsidTr="007E51AB">
        <w:trPr>
          <w:trHeight w:val="537"/>
        </w:trPr>
        <w:tc>
          <w:tcPr>
            <w:tcW w:w="3251" w:type="dxa"/>
            <w:tcBorders>
              <w:top w:val="nil"/>
              <w:left w:val="single" w:sz="8" w:space="0" w:color="auto"/>
              <w:bottom w:val="nil"/>
              <w:right w:val="single" w:sz="8" w:space="0" w:color="auto"/>
            </w:tcBorders>
            <w:shd w:val="clear" w:color="000000" w:fill="BDD7EE"/>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Mental Health Condition</w:t>
            </w:r>
          </w:p>
        </w:tc>
        <w:tc>
          <w:tcPr>
            <w:tcW w:w="1417" w:type="dxa"/>
            <w:tcBorders>
              <w:top w:val="single" w:sz="4" w:space="0" w:color="9BC2E6"/>
              <w:left w:val="nil"/>
              <w:bottom w:val="single" w:sz="4" w:space="0" w:color="9BC2E6"/>
              <w:right w:val="single" w:sz="4" w:space="0" w:color="9BC2E6"/>
            </w:tcBorders>
            <w:shd w:val="clear" w:color="000000" w:fill="BDD7EE"/>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60</w:t>
            </w:r>
          </w:p>
        </w:tc>
        <w:tc>
          <w:tcPr>
            <w:tcW w:w="992" w:type="dxa"/>
            <w:tcBorders>
              <w:top w:val="single" w:sz="4" w:space="0" w:color="9BC2E6"/>
              <w:left w:val="single" w:sz="8" w:space="0" w:color="auto"/>
              <w:bottom w:val="single" w:sz="4" w:space="0" w:color="9BC2E6"/>
              <w:right w:val="single" w:sz="4" w:space="0" w:color="9BC2E6"/>
            </w:tcBorders>
            <w:shd w:val="clear" w:color="000000" w:fill="BDD7EE"/>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33</w:t>
            </w:r>
          </w:p>
        </w:tc>
        <w:tc>
          <w:tcPr>
            <w:tcW w:w="1134" w:type="dxa"/>
            <w:tcBorders>
              <w:top w:val="single" w:sz="4" w:space="0" w:color="9BC2E6"/>
              <w:left w:val="single" w:sz="8" w:space="0" w:color="auto"/>
              <w:bottom w:val="single" w:sz="4" w:space="0" w:color="9BC2E6"/>
              <w:right w:val="single" w:sz="4" w:space="0" w:color="9BC2E6"/>
            </w:tcBorders>
            <w:shd w:val="clear" w:color="000000" w:fill="BDD7EE"/>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27</w:t>
            </w:r>
          </w:p>
        </w:tc>
        <w:tc>
          <w:tcPr>
            <w:tcW w:w="1134" w:type="dxa"/>
            <w:tcBorders>
              <w:top w:val="nil"/>
              <w:left w:val="single" w:sz="8" w:space="0" w:color="auto"/>
              <w:bottom w:val="single" w:sz="4" w:space="0" w:color="9BC2E6"/>
              <w:right w:val="nil"/>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55.00%</w:t>
            </w:r>
          </w:p>
        </w:tc>
        <w:tc>
          <w:tcPr>
            <w:tcW w:w="1134" w:type="dxa"/>
            <w:tcBorders>
              <w:top w:val="nil"/>
              <w:left w:val="single" w:sz="8" w:space="0" w:color="auto"/>
              <w:bottom w:val="nil"/>
              <w:right w:val="single" w:sz="8" w:space="0" w:color="auto"/>
            </w:tcBorders>
            <w:shd w:val="clear" w:color="000000" w:fill="BDD7EE"/>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23</w:t>
            </w:r>
          </w:p>
        </w:tc>
        <w:tc>
          <w:tcPr>
            <w:tcW w:w="1276" w:type="dxa"/>
            <w:tcBorders>
              <w:top w:val="nil"/>
              <w:left w:val="nil"/>
              <w:bottom w:val="nil"/>
              <w:right w:val="single" w:sz="8" w:space="0" w:color="auto"/>
            </w:tcBorders>
            <w:shd w:val="clear" w:color="000000" w:fill="BDD7EE"/>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218</w:t>
            </w:r>
          </w:p>
        </w:tc>
        <w:tc>
          <w:tcPr>
            <w:tcW w:w="1134" w:type="dxa"/>
            <w:tcBorders>
              <w:top w:val="nil"/>
              <w:left w:val="nil"/>
              <w:bottom w:val="nil"/>
              <w:right w:val="single" w:sz="8" w:space="0" w:color="auto"/>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10.55%</w:t>
            </w:r>
          </w:p>
        </w:tc>
      </w:tr>
      <w:tr w:rsidR="007E51AB" w:rsidRPr="000831FB" w:rsidTr="007E51AB">
        <w:trPr>
          <w:trHeight w:val="537"/>
        </w:trPr>
        <w:tc>
          <w:tcPr>
            <w:tcW w:w="3251" w:type="dxa"/>
            <w:tcBorders>
              <w:top w:val="nil"/>
              <w:left w:val="single" w:sz="8" w:space="0" w:color="auto"/>
              <w:bottom w:val="nil"/>
              <w:right w:val="single" w:sz="8" w:space="0" w:color="auto"/>
            </w:tcBorders>
            <w:shd w:val="clear" w:color="auto" w:fill="auto"/>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Long standing health condition</w:t>
            </w:r>
          </w:p>
        </w:tc>
        <w:tc>
          <w:tcPr>
            <w:tcW w:w="1417" w:type="dxa"/>
            <w:tcBorders>
              <w:top w:val="single" w:sz="4" w:space="0" w:color="9BC2E6"/>
              <w:left w:val="nil"/>
              <w:bottom w:val="single" w:sz="4" w:space="0" w:color="9BC2E6"/>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33</w:t>
            </w:r>
          </w:p>
        </w:tc>
        <w:tc>
          <w:tcPr>
            <w:tcW w:w="992" w:type="dxa"/>
            <w:tcBorders>
              <w:top w:val="single" w:sz="4" w:space="0" w:color="9BC2E6"/>
              <w:left w:val="single" w:sz="8" w:space="0" w:color="auto"/>
              <w:bottom w:val="single" w:sz="4" w:space="0" w:color="9BC2E6"/>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18</w:t>
            </w:r>
          </w:p>
        </w:tc>
        <w:tc>
          <w:tcPr>
            <w:tcW w:w="1134" w:type="dxa"/>
            <w:tcBorders>
              <w:top w:val="single" w:sz="4" w:space="0" w:color="9BC2E6"/>
              <w:left w:val="single" w:sz="8" w:space="0" w:color="auto"/>
              <w:bottom w:val="single" w:sz="4" w:space="0" w:color="9BC2E6"/>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15</w:t>
            </w:r>
          </w:p>
        </w:tc>
        <w:tc>
          <w:tcPr>
            <w:tcW w:w="1134" w:type="dxa"/>
            <w:tcBorders>
              <w:top w:val="nil"/>
              <w:left w:val="single" w:sz="8" w:space="0" w:color="auto"/>
              <w:bottom w:val="single" w:sz="4" w:space="0" w:color="9BC2E6"/>
              <w:right w:val="nil"/>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54.55%</w:t>
            </w:r>
          </w:p>
        </w:tc>
        <w:tc>
          <w:tcPr>
            <w:tcW w:w="1134" w:type="dxa"/>
            <w:tcBorders>
              <w:top w:val="nil"/>
              <w:left w:val="single" w:sz="8" w:space="0" w:color="auto"/>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16</w:t>
            </w:r>
          </w:p>
        </w:tc>
        <w:tc>
          <w:tcPr>
            <w:tcW w:w="1276" w:type="dxa"/>
            <w:tcBorders>
              <w:top w:val="nil"/>
              <w:left w:val="nil"/>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125</w:t>
            </w:r>
          </w:p>
        </w:tc>
        <w:tc>
          <w:tcPr>
            <w:tcW w:w="1134" w:type="dxa"/>
            <w:tcBorders>
              <w:top w:val="nil"/>
              <w:left w:val="nil"/>
              <w:bottom w:val="nil"/>
              <w:right w:val="single" w:sz="8" w:space="0" w:color="auto"/>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12.80%</w:t>
            </w:r>
          </w:p>
        </w:tc>
      </w:tr>
      <w:tr w:rsidR="007E51AB" w:rsidRPr="000831FB" w:rsidTr="007E51AB">
        <w:trPr>
          <w:trHeight w:val="537"/>
        </w:trPr>
        <w:tc>
          <w:tcPr>
            <w:tcW w:w="3251" w:type="dxa"/>
            <w:tcBorders>
              <w:top w:val="nil"/>
              <w:left w:val="single" w:sz="8" w:space="0" w:color="auto"/>
              <w:bottom w:val="nil"/>
              <w:right w:val="single" w:sz="8" w:space="0" w:color="auto"/>
            </w:tcBorders>
            <w:shd w:val="clear" w:color="auto" w:fill="B8CCE4" w:themeFill="accent1" w:themeFillTint="66"/>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Multiple disabilities</w:t>
            </w:r>
          </w:p>
        </w:tc>
        <w:tc>
          <w:tcPr>
            <w:tcW w:w="1417" w:type="dxa"/>
            <w:tcBorders>
              <w:top w:val="nil"/>
              <w:left w:val="nil"/>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77</w:t>
            </w:r>
          </w:p>
        </w:tc>
        <w:tc>
          <w:tcPr>
            <w:tcW w:w="992" w:type="dxa"/>
            <w:tcBorders>
              <w:top w:val="nil"/>
              <w:left w:val="nil"/>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50</w:t>
            </w:r>
          </w:p>
        </w:tc>
        <w:tc>
          <w:tcPr>
            <w:tcW w:w="1134" w:type="dxa"/>
            <w:tcBorders>
              <w:top w:val="nil"/>
              <w:left w:val="nil"/>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27</w:t>
            </w:r>
          </w:p>
        </w:tc>
        <w:tc>
          <w:tcPr>
            <w:tcW w:w="1134" w:type="dxa"/>
            <w:tcBorders>
              <w:top w:val="nil"/>
              <w:left w:val="single" w:sz="8" w:space="0" w:color="auto"/>
              <w:bottom w:val="single" w:sz="4" w:space="0" w:color="9BC2E6"/>
              <w:right w:val="nil"/>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64.94%</w:t>
            </w:r>
          </w:p>
        </w:tc>
        <w:tc>
          <w:tcPr>
            <w:tcW w:w="1134" w:type="dxa"/>
            <w:tcBorders>
              <w:top w:val="nil"/>
              <w:left w:val="single" w:sz="8" w:space="0" w:color="auto"/>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26</w:t>
            </w:r>
          </w:p>
        </w:tc>
        <w:tc>
          <w:tcPr>
            <w:tcW w:w="1276" w:type="dxa"/>
            <w:tcBorders>
              <w:top w:val="nil"/>
              <w:left w:val="nil"/>
              <w:bottom w:val="single" w:sz="4" w:space="0" w:color="9BC2E6"/>
              <w:right w:val="nil"/>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94</w:t>
            </w:r>
          </w:p>
        </w:tc>
        <w:tc>
          <w:tcPr>
            <w:tcW w:w="1134" w:type="dxa"/>
            <w:tcBorders>
              <w:top w:val="nil"/>
              <w:left w:val="single" w:sz="8" w:space="0" w:color="auto"/>
              <w:bottom w:val="nil"/>
              <w:right w:val="single" w:sz="8" w:space="0" w:color="auto"/>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27.66%</w:t>
            </w:r>
          </w:p>
        </w:tc>
      </w:tr>
      <w:tr w:rsidR="007E51AB" w:rsidRPr="000831FB" w:rsidTr="007E51AB">
        <w:trPr>
          <w:trHeight w:val="537"/>
        </w:trPr>
        <w:tc>
          <w:tcPr>
            <w:tcW w:w="3251" w:type="dxa"/>
            <w:tcBorders>
              <w:top w:val="nil"/>
              <w:left w:val="single" w:sz="8" w:space="0" w:color="auto"/>
              <w:bottom w:val="nil"/>
              <w:right w:val="single" w:sz="8" w:space="0" w:color="auto"/>
            </w:tcBorders>
            <w:shd w:val="clear" w:color="auto" w:fill="auto"/>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Physical impairment or mobility</w:t>
            </w:r>
          </w:p>
        </w:tc>
        <w:tc>
          <w:tcPr>
            <w:tcW w:w="1417" w:type="dxa"/>
            <w:tcBorders>
              <w:top w:val="single" w:sz="4" w:space="0" w:color="9BC2E6"/>
              <w:left w:val="nil"/>
              <w:bottom w:val="single" w:sz="4" w:space="0" w:color="9BC2E6"/>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34</w:t>
            </w:r>
          </w:p>
        </w:tc>
        <w:tc>
          <w:tcPr>
            <w:tcW w:w="992" w:type="dxa"/>
            <w:tcBorders>
              <w:top w:val="single" w:sz="4" w:space="0" w:color="9BC2E6"/>
              <w:left w:val="single" w:sz="8" w:space="0" w:color="auto"/>
              <w:bottom w:val="single" w:sz="4" w:space="0" w:color="9BC2E6"/>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24</w:t>
            </w:r>
          </w:p>
        </w:tc>
        <w:tc>
          <w:tcPr>
            <w:tcW w:w="1134" w:type="dxa"/>
            <w:tcBorders>
              <w:top w:val="single" w:sz="4" w:space="0" w:color="9BC2E6"/>
              <w:left w:val="single" w:sz="8" w:space="0" w:color="auto"/>
              <w:bottom w:val="single" w:sz="4" w:space="0" w:color="9BC2E6"/>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10</w:t>
            </w:r>
          </w:p>
        </w:tc>
        <w:tc>
          <w:tcPr>
            <w:tcW w:w="1134" w:type="dxa"/>
            <w:tcBorders>
              <w:top w:val="nil"/>
              <w:left w:val="single" w:sz="8" w:space="0" w:color="auto"/>
              <w:bottom w:val="single" w:sz="4" w:space="0" w:color="9BC2E6"/>
              <w:right w:val="nil"/>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70.59%</w:t>
            </w:r>
          </w:p>
        </w:tc>
        <w:tc>
          <w:tcPr>
            <w:tcW w:w="1134" w:type="dxa"/>
            <w:tcBorders>
              <w:top w:val="nil"/>
              <w:left w:val="single" w:sz="8" w:space="0" w:color="auto"/>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12</w:t>
            </w:r>
          </w:p>
        </w:tc>
        <w:tc>
          <w:tcPr>
            <w:tcW w:w="1276" w:type="dxa"/>
            <w:tcBorders>
              <w:top w:val="nil"/>
              <w:left w:val="nil"/>
              <w:bottom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59</w:t>
            </w:r>
          </w:p>
        </w:tc>
        <w:tc>
          <w:tcPr>
            <w:tcW w:w="1134" w:type="dxa"/>
            <w:tcBorders>
              <w:top w:val="nil"/>
              <w:left w:val="nil"/>
              <w:bottom w:val="nil"/>
              <w:right w:val="single" w:sz="8" w:space="0" w:color="auto"/>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20.34%</w:t>
            </w:r>
          </w:p>
        </w:tc>
      </w:tr>
      <w:tr w:rsidR="007E51AB" w:rsidRPr="000831FB" w:rsidTr="007E51AB">
        <w:trPr>
          <w:trHeight w:val="537"/>
        </w:trPr>
        <w:tc>
          <w:tcPr>
            <w:tcW w:w="3251" w:type="dxa"/>
            <w:tcBorders>
              <w:top w:val="nil"/>
              <w:left w:val="single" w:sz="8" w:space="0" w:color="auto"/>
              <w:bottom w:val="nil"/>
              <w:right w:val="single" w:sz="8" w:space="0" w:color="auto"/>
            </w:tcBorders>
            <w:shd w:val="clear" w:color="auto" w:fill="B8CCE4" w:themeFill="accent1" w:themeFillTint="66"/>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w:t>
            </w:r>
            <w:r w:rsidRPr="000831FB">
              <w:rPr>
                <w:rFonts w:ascii="Calibri" w:eastAsia="Times New Roman" w:hAnsi="Calibri" w:cs="Times New Roman"/>
                <w:b/>
                <w:bCs/>
                <w:color w:val="000000"/>
                <w:lang w:eastAsia="en-GB"/>
              </w:rPr>
              <w:t>ocial/communication disorders</w:t>
            </w:r>
          </w:p>
        </w:tc>
        <w:tc>
          <w:tcPr>
            <w:tcW w:w="1417" w:type="dxa"/>
            <w:tcBorders>
              <w:top w:val="nil"/>
              <w:left w:val="nil"/>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2</w:t>
            </w:r>
          </w:p>
        </w:tc>
        <w:tc>
          <w:tcPr>
            <w:tcW w:w="992" w:type="dxa"/>
            <w:tcBorders>
              <w:top w:val="nil"/>
              <w:left w:val="nil"/>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2</w:t>
            </w:r>
          </w:p>
        </w:tc>
        <w:tc>
          <w:tcPr>
            <w:tcW w:w="1134" w:type="dxa"/>
            <w:tcBorders>
              <w:top w:val="nil"/>
              <w:left w:val="nil"/>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0</w:t>
            </w:r>
          </w:p>
        </w:tc>
        <w:tc>
          <w:tcPr>
            <w:tcW w:w="1134" w:type="dxa"/>
            <w:tcBorders>
              <w:top w:val="nil"/>
              <w:left w:val="single" w:sz="8" w:space="0" w:color="auto"/>
              <w:bottom w:val="single" w:sz="4" w:space="0" w:color="9BC2E6"/>
              <w:right w:val="nil"/>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100.00%</w:t>
            </w:r>
          </w:p>
        </w:tc>
        <w:tc>
          <w:tcPr>
            <w:tcW w:w="1134" w:type="dxa"/>
            <w:tcBorders>
              <w:top w:val="nil"/>
              <w:left w:val="single" w:sz="8" w:space="0" w:color="auto"/>
              <w:bottom w:val="nil"/>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w:t>
            </w:r>
          </w:p>
        </w:tc>
        <w:tc>
          <w:tcPr>
            <w:tcW w:w="1276" w:type="dxa"/>
            <w:tcBorders>
              <w:top w:val="nil"/>
              <w:left w:val="nil"/>
              <w:bottom w:val="single" w:sz="4" w:space="0" w:color="9BC2E6"/>
              <w:right w:val="nil"/>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50</w:t>
            </w:r>
          </w:p>
        </w:tc>
        <w:tc>
          <w:tcPr>
            <w:tcW w:w="1134" w:type="dxa"/>
            <w:tcBorders>
              <w:top w:val="nil"/>
              <w:left w:val="single" w:sz="8" w:space="0" w:color="auto"/>
              <w:bottom w:val="nil"/>
              <w:right w:val="single" w:sz="8" w:space="0" w:color="auto"/>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2.00%</w:t>
            </w:r>
          </w:p>
        </w:tc>
      </w:tr>
      <w:tr w:rsidR="007E51AB" w:rsidRPr="000831FB" w:rsidTr="007E51AB">
        <w:trPr>
          <w:trHeight w:val="537"/>
        </w:trPr>
        <w:tc>
          <w:tcPr>
            <w:tcW w:w="3251" w:type="dxa"/>
            <w:tcBorders>
              <w:top w:val="nil"/>
              <w:left w:val="single" w:sz="8" w:space="0" w:color="auto"/>
              <w:right w:val="single" w:sz="8" w:space="0" w:color="auto"/>
            </w:tcBorders>
            <w:shd w:val="clear" w:color="auto" w:fill="auto"/>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Hearing impairment</w:t>
            </w:r>
          </w:p>
        </w:tc>
        <w:tc>
          <w:tcPr>
            <w:tcW w:w="1417" w:type="dxa"/>
            <w:tcBorders>
              <w:top w:val="nil"/>
              <w:left w:val="nil"/>
              <w:right w:val="nil"/>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11</w:t>
            </w:r>
          </w:p>
        </w:tc>
        <w:tc>
          <w:tcPr>
            <w:tcW w:w="992" w:type="dxa"/>
            <w:tcBorders>
              <w:top w:val="single" w:sz="4" w:space="0" w:color="9BC2E6"/>
              <w:left w:val="single" w:sz="8" w:space="0" w:color="auto"/>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10</w:t>
            </w:r>
          </w:p>
        </w:tc>
        <w:tc>
          <w:tcPr>
            <w:tcW w:w="1134" w:type="dxa"/>
            <w:tcBorders>
              <w:top w:val="single" w:sz="4" w:space="0" w:color="9BC2E6"/>
              <w:left w:val="single" w:sz="8" w:space="0" w:color="auto"/>
              <w:right w:val="single" w:sz="4" w:space="0" w:color="9BC2E6"/>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w:t>
            </w:r>
          </w:p>
        </w:tc>
        <w:tc>
          <w:tcPr>
            <w:tcW w:w="1134" w:type="dxa"/>
            <w:tcBorders>
              <w:top w:val="nil"/>
              <w:left w:val="single" w:sz="8" w:space="0" w:color="auto"/>
              <w:right w:val="nil"/>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90.91%</w:t>
            </w:r>
          </w:p>
        </w:tc>
        <w:tc>
          <w:tcPr>
            <w:tcW w:w="1134" w:type="dxa"/>
            <w:tcBorders>
              <w:top w:val="nil"/>
              <w:left w:val="single" w:sz="8" w:space="0" w:color="auto"/>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5</w:t>
            </w:r>
          </w:p>
        </w:tc>
        <w:tc>
          <w:tcPr>
            <w:tcW w:w="1276" w:type="dxa"/>
            <w:tcBorders>
              <w:top w:val="nil"/>
              <w:left w:val="nil"/>
              <w:right w:val="single" w:sz="8" w:space="0" w:color="auto"/>
            </w:tcBorders>
            <w:shd w:val="clear" w:color="auto" w:fill="auto"/>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29</w:t>
            </w:r>
          </w:p>
        </w:tc>
        <w:tc>
          <w:tcPr>
            <w:tcW w:w="1134" w:type="dxa"/>
            <w:tcBorders>
              <w:top w:val="nil"/>
              <w:left w:val="nil"/>
              <w:right w:val="single" w:sz="8" w:space="0" w:color="auto"/>
            </w:tcBorders>
            <w:shd w:val="clear" w:color="auto" w:fill="auto"/>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17.24%</w:t>
            </w:r>
          </w:p>
        </w:tc>
      </w:tr>
      <w:tr w:rsidR="007E51AB" w:rsidRPr="000831FB" w:rsidTr="007E51AB">
        <w:trPr>
          <w:trHeight w:val="537"/>
        </w:trPr>
        <w:tc>
          <w:tcPr>
            <w:tcW w:w="3251" w:type="dxa"/>
            <w:tcBorders>
              <w:left w:val="single" w:sz="4" w:space="0" w:color="auto"/>
              <w:right w:val="single" w:sz="8" w:space="0" w:color="auto"/>
            </w:tcBorders>
            <w:shd w:val="clear" w:color="auto" w:fill="B8CCE4" w:themeFill="accent1" w:themeFillTint="66"/>
            <w:noWrap/>
            <w:vAlign w:val="center"/>
            <w:hideMark/>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Visual impairment</w:t>
            </w:r>
          </w:p>
        </w:tc>
        <w:tc>
          <w:tcPr>
            <w:tcW w:w="1417" w:type="dxa"/>
            <w:tcBorders>
              <w:left w:val="single" w:sz="8" w:space="0" w:color="auto"/>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w:t>
            </w:r>
          </w:p>
        </w:tc>
        <w:tc>
          <w:tcPr>
            <w:tcW w:w="992" w:type="dxa"/>
            <w:tcBorders>
              <w:left w:val="single" w:sz="8" w:space="0" w:color="auto"/>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w:t>
            </w:r>
          </w:p>
        </w:tc>
        <w:tc>
          <w:tcPr>
            <w:tcW w:w="1134" w:type="dxa"/>
            <w:tcBorders>
              <w:left w:val="single" w:sz="8" w:space="0" w:color="auto"/>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w:t>
            </w:r>
          </w:p>
        </w:tc>
        <w:tc>
          <w:tcPr>
            <w:tcW w:w="1134" w:type="dxa"/>
            <w:tcBorders>
              <w:left w:val="single" w:sz="8" w:space="0" w:color="auto"/>
              <w:right w:val="single" w:sz="8" w:space="0" w:color="auto"/>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50.00%</w:t>
            </w:r>
          </w:p>
        </w:tc>
        <w:tc>
          <w:tcPr>
            <w:tcW w:w="1134" w:type="dxa"/>
            <w:tcBorders>
              <w:left w:val="single" w:sz="8" w:space="0" w:color="auto"/>
              <w:right w:val="single" w:sz="8" w:space="0" w:color="auto"/>
            </w:tcBorders>
            <w:shd w:val="clear" w:color="auto" w:fill="B8CCE4" w:themeFill="accent1" w:themeFillTint="66"/>
            <w:noWrap/>
            <w:vAlign w:val="bottom"/>
            <w:hideMark/>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1</w:t>
            </w:r>
          </w:p>
        </w:tc>
        <w:tc>
          <w:tcPr>
            <w:tcW w:w="1276" w:type="dxa"/>
            <w:tcBorders>
              <w:left w:val="single" w:sz="8" w:space="0" w:color="auto"/>
              <w:right w:val="single" w:sz="8" w:space="0" w:color="auto"/>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15</w:t>
            </w:r>
          </w:p>
        </w:tc>
        <w:tc>
          <w:tcPr>
            <w:tcW w:w="1134" w:type="dxa"/>
            <w:tcBorders>
              <w:left w:val="single" w:sz="8" w:space="0" w:color="auto"/>
              <w:right w:val="single" w:sz="8" w:space="0" w:color="auto"/>
            </w:tcBorders>
            <w:shd w:val="clear" w:color="auto" w:fill="B8CCE4" w:themeFill="accent1" w:themeFillTint="66"/>
            <w:noWrap/>
            <w:vAlign w:val="center"/>
            <w:hideMark/>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6.67%</w:t>
            </w:r>
          </w:p>
        </w:tc>
      </w:tr>
      <w:tr w:rsidR="007E51AB" w:rsidRPr="000831FB" w:rsidTr="007E51AB">
        <w:trPr>
          <w:trHeight w:val="300"/>
        </w:trPr>
        <w:tc>
          <w:tcPr>
            <w:tcW w:w="3251" w:type="dxa"/>
            <w:tcBorders>
              <w:left w:val="single" w:sz="8" w:space="0" w:color="auto"/>
              <w:bottom w:val="single" w:sz="8" w:space="0" w:color="auto"/>
              <w:right w:val="single" w:sz="8" w:space="0" w:color="auto"/>
            </w:tcBorders>
            <w:shd w:val="clear" w:color="auto" w:fill="auto"/>
            <w:noWrap/>
            <w:vAlign w:val="center"/>
          </w:tcPr>
          <w:p w:rsidR="007E51AB" w:rsidRDefault="007E51AB" w:rsidP="009326A0">
            <w:pPr>
              <w:spacing w:after="0" w:line="240" w:lineRule="auto"/>
              <w:rPr>
                <w:rFonts w:ascii="Calibri" w:eastAsia="Times New Roman" w:hAnsi="Calibri" w:cs="Times New Roman"/>
                <w:b/>
                <w:bCs/>
                <w:color w:val="000000"/>
                <w:lang w:eastAsia="en-GB"/>
              </w:rPr>
            </w:pPr>
          </w:p>
          <w:p w:rsidR="007E51AB" w:rsidRPr="000831FB" w:rsidRDefault="007E51AB" w:rsidP="009326A0">
            <w:pPr>
              <w:spacing w:after="0" w:line="240" w:lineRule="auto"/>
              <w:rPr>
                <w:rFonts w:ascii="Calibri" w:eastAsia="Times New Roman" w:hAnsi="Calibri" w:cs="Times New Roman"/>
                <w:b/>
                <w:bCs/>
                <w:color w:val="000000"/>
                <w:lang w:eastAsia="en-GB"/>
              </w:rPr>
            </w:pPr>
            <w:r w:rsidRPr="000831FB">
              <w:rPr>
                <w:rFonts w:ascii="Calibri" w:eastAsia="Times New Roman" w:hAnsi="Calibri" w:cs="Times New Roman"/>
                <w:b/>
                <w:bCs/>
                <w:color w:val="000000"/>
                <w:lang w:eastAsia="en-GB"/>
              </w:rPr>
              <w:t>Other</w:t>
            </w:r>
          </w:p>
        </w:tc>
        <w:tc>
          <w:tcPr>
            <w:tcW w:w="1417" w:type="dxa"/>
            <w:tcBorders>
              <w:left w:val="single" w:sz="8" w:space="0" w:color="auto"/>
              <w:bottom w:val="single" w:sz="8" w:space="0" w:color="auto"/>
              <w:right w:val="single" w:sz="4" w:space="0" w:color="9BC2E6"/>
            </w:tcBorders>
            <w:shd w:val="clear" w:color="auto" w:fill="auto"/>
            <w:noWrap/>
            <w:vAlign w:val="bottom"/>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84</w:t>
            </w:r>
          </w:p>
        </w:tc>
        <w:tc>
          <w:tcPr>
            <w:tcW w:w="992" w:type="dxa"/>
            <w:tcBorders>
              <w:left w:val="single" w:sz="8" w:space="0" w:color="auto"/>
              <w:bottom w:val="single" w:sz="8" w:space="0" w:color="auto"/>
              <w:right w:val="single" w:sz="8" w:space="0" w:color="auto"/>
            </w:tcBorders>
            <w:shd w:val="clear" w:color="auto" w:fill="auto"/>
            <w:noWrap/>
            <w:vAlign w:val="bottom"/>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50</w:t>
            </w:r>
          </w:p>
        </w:tc>
        <w:tc>
          <w:tcPr>
            <w:tcW w:w="1134" w:type="dxa"/>
            <w:tcBorders>
              <w:left w:val="nil"/>
              <w:bottom w:val="single" w:sz="8" w:space="0" w:color="auto"/>
              <w:right w:val="single" w:sz="8" w:space="0" w:color="auto"/>
            </w:tcBorders>
            <w:shd w:val="clear" w:color="auto" w:fill="auto"/>
            <w:noWrap/>
            <w:vAlign w:val="bottom"/>
          </w:tcPr>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34</w:t>
            </w:r>
          </w:p>
        </w:tc>
        <w:tc>
          <w:tcPr>
            <w:tcW w:w="1134" w:type="dxa"/>
            <w:tcBorders>
              <w:left w:val="nil"/>
              <w:bottom w:val="single" w:sz="8" w:space="0" w:color="auto"/>
              <w:right w:val="single" w:sz="8" w:space="0" w:color="auto"/>
            </w:tcBorders>
            <w:shd w:val="clear" w:color="auto" w:fill="auto"/>
            <w:noWrap/>
            <w:vAlign w:val="center"/>
          </w:tcPr>
          <w:p w:rsidR="007E51AB" w:rsidRDefault="007E51AB" w:rsidP="009326A0">
            <w:pPr>
              <w:spacing w:after="0" w:line="240" w:lineRule="auto"/>
              <w:jc w:val="center"/>
              <w:rPr>
                <w:rFonts w:ascii="Calibri" w:eastAsia="Times New Roman" w:hAnsi="Calibri" w:cs="Times New Roman"/>
                <w:lang w:eastAsia="en-GB"/>
              </w:rPr>
            </w:pPr>
          </w:p>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59.52%</w:t>
            </w:r>
          </w:p>
        </w:tc>
        <w:tc>
          <w:tcPr>
            <w:tcW w:w="1134" w:type="dxa"/>
            <w:tcBorders>
              <w:left w:val="nil"/>
              <w:bottom w:val="single" w:sz="8" w:space="0" w:color="auto"/>
              <w:right w:val="single" w:sz="8" w:space="0" w:color="auto"/>
            </w:tcBorders>
            <w:shd w:val="clear" w:color="auto" w:fill="auto"/>
            <w:noWrap/>
            <w:vAlign w:val="bottom"/>
          </w:tcPr>
          <w:p w:rsidR="007E51AB" w:rsidRPr="000831FB" w:rsidRDefault="007E51AB" w:rsidP="009326A0">
            <w:pPr>
              <w:spacing w:after="0" w:line="240" w:lineRule="auto"/>
              <w:jc w:val="center"/>
              <w:rPr>
                <w:rFonts w:ascii="Calibri" w:eastAsia="Times New Roman" w:hAnsi="Calibri" w:cs="Times New Roman"/>
                <w:lang w:eastAsia="en-GB"/>
              </w:rPr>
            </w:pPr>
            <w:r w:rsidRPr="000831FB">
              <w:rPr>
                <w:rFonts w:ascii="Calibri" w:eastAsia="Times New Roman" w:hAnsi="Calibri" w:cs="Times New Roman"/>
                <w:lang w:eastAsia="en-GB"/>
              </w:rPr>
              <w:t>26</w:t>
            </w:r>
          </w:p>
        </w:tc>
        <w:tc>
          <w:tcPr>
            <w:tcW w:w="1276" w:type="dxa"/>
            <w:tcBorders>
              <w:left w:val="nil"/>
              <w:bottom w:val="single" w:sz="8" w:space="0" w:color="auto"/>
              <w:right w:val="nil"/>
            </w:tcBorders>
            <w:shd w:val="clear" w:color="auto" w:fill="auto"/>
            <w:noWrap/>
            <w:vAlign w:val="center"/>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135</w:t>
            </w:r>
          </w:p>
        </w:tc>
        <w:tc>
          <w:tcPr>
            <w:tcW w:w="1134" w:type="dxa"/>
            <w:tcBorders>
              <w:left w:val="single" w:sz="8" w:space="0" w:color="auto"/>
              <w:bottom w:val="single" w:sz="8" w:space="0" w:color="auto"/>
              <w:right w:val="single" w:sz="8" w:space="0" w:color="auto"/>
            </w:tcBorders>
            <w:shd w:val="clear" w:color="auto" w:fill="auto"/>
            <w:noWrap/>
            <w:vAlign w:val="center"/>
          </w:tcPr>
          <w:p w:rsidR="007E51AB" w:rsidRDefault="007E51AB" w:rsidP="009326A0">
            <w:pPr>
              <w:spacing w:after="0" w:line="240" w:lineRule="auto"/>
              <w:jc w:val="center"/>
              <w:rPr>
                <w:rFonts w:ascii="Calibri" w:eastAsia="Times New Roman" w:hAnsi="Calibri" w:cs="Times New Roman"/>
                <w:color w:val="000000"/>
                <w:lang w:eastAsia="en-GB"/>
              </w:rPr>
            </w:pPr>
          </w:p>
          <w:p w:rsidR="007E51AB" w:rsidRPr="000831FB" w:rsidRDefault="007E51AB" w:rsidP="009326A0">
            <w:pPr>
              <w:spacing w:after="0" w:line="240" w:lineRule="auto"/>
              <w:jc w:val="center"/>
              <w:rPr>
                <w:rFonts w:ascii="Calibri" w:eastAsia="Times New Roman" w:hAnsi="Calibri" w:cs="Times New Roman"/>
                <w:color w:val="000000"/>
                <w:lang w:eastAsia="en-GB"/>
              </w:rPr>
            </w:pPr>
            <w:r w:rsidRPr="000831FB">
              <w:rPr>
                <w:rFonts w:ascii="Calibri" w:eastAsia="Times New Roman" w:hAnsi="Calibri" w:cs="Times New Roman"/>
                <w:color w:val="000000"/>
                <w:lang w:eastAsia="en-GB"/>
              </w:rPr>
              <w:t>19.26%</w:t>
            </w:r>
          </w:p>
        </w:tc>
      </w:tr>
      <w:tr w:rsidR="007E51AB" w:rsidRPr="000831FB" w:rsidTr="007E51AB">
        <w:trPr>
          <w:trHeight w:val="300"/>
        </w:trPr>
        <w:tc>
          <w:tcPr>
            <w:tcW w:w="32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b/>
                <w:bCs/>
                <w:lang w:eastAsia="en-GB"/>
              </w:rPr>
            </w:pPr>
          </w:p>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Total</w:t>
            </w:r>
            <w:r>
              <w:rPr>
                <w:rFonts w:ascii="Calibri" w:eastAsia="Times New Roman" w:hAnsi="Calibri" w:cs="Times New Roman"/>
                <w:b/>
                <w:bCs/>
                <w:lang w:eastAsia="en-GB"/>
              </w:rPr>
              <w:t>s</w:t>
            </w:r>
          </w:p>
        </w:tc>
        <w:tc>
          <w:tcPr>
            <w:tcW w:w="1417" w:type="dxa"/>
            <w:tcBorders>
              <w:top w:val="single" w:sz="8" w:space="0" w:color="auto"/>
              <w:left w:val="single" w:sz="8" w:space="0" w:color="auto"/>
              <w:bottom w:val="single" w:sz="8" w:space="0" w:color="auto"/>
              <w:right w:val="single" w:sz="4" w:space="0" w:color="9BC2E6"/>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b/>
                <w:bCs/>
                <w:lang w:eastAsia="en-GB"/>
              </w:rPr>
            </w:pPr>
          </w:p>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453</w:t>
            </w:r>
          </w:p>
        </w:tc>
        <w:tc>
          <w:tcPr>
            <w:tcW w:w="992"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b/>
                <w:bCs/>
                <w:lang w:eastAsia="en-GB"/>
              </w:rPr>
            </w:pPr>
          </w:p>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260</w:t>
            </w:r>
          </w:p>
        </w:tc>
        <w:tc>
          <w:tcPr>
            <w:tcW w:w="1134" w:type="dxa"/>
            <w:tcBorders>
              <w:top w:val="single" w:sz="8" w:space="0" w:color="auto"/>
              <w:left w:val="nil"/>
              <w:bottom w:val="single" w:sz="8" w:space="0" w:color="auto"/>
              <w:right w:val="single" w:sz="8" w:space="0" w:color="auto"/>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b/>
                <w:bCs/>
                <w:lang w:eastAsia="en-GB"/>
              </w:rPr>
            </w:pPr>
          </w:p>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193</w:t>
            </w:r>
          </w:p>
        </w:tc>
        <w:tc>
          <w:tcPr>
            <w:tcW w:w="1134" w:type="dxa"/>
            <w:tcBorders>
              <w:top w:val="single" w:sz="8" w:space="0" w:color="auto"/>
              <w:left w:val="nil"/>
              <w:bottom w:val="single" w:sz="8" w:space="0" w:color="auto"/>
              <w:right w:val="single" w:sz="8" w:space="0" w:color="auto"/>
            </w:tcBorders>
            <w:shd w:val="clear" w:color="000000" w:fill="BDD7EE"/>
            <w:noWrap/>
            <w:vAlign w:val="bottom"/>
            <w:hideMark/>
          </w:tcPr>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57.40%</w:t>
            </w:r>
          </w:p>
        </w:tc>
        <w:tc>
          <w:tcPr>
            <w:tcW w:w="1134" w:type="dxa"/>
            <w:tcBorders>
              <w:top w:val="single" w:sz="8" w:space="0" w:color="auto"/>
              <w:left w:val="nil"/>
              <w:bottom w:val="single" w:sz="8" w:space="0" w:color="auto"/>
              <w:right w:val="single" w:sz="8" w:space="0" w:color="auto"/>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b/>
                <w:bCs/>
                <w:lang w:eastAsia="en-GB"/>
              </w:rPr>
            </w:pPr>
          </w:p>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164</w:t>
            </w:r>
          </w:p>
        </w:tc>
        <w:tc>
          <w:tcPr>
            <w:tcW w:w="1276" w:type="dxa"/>
            <w:tcBorders>
              <w:top w:val="single" w:sz="8" w:space="0" w:color="auto"/>
              <w:left w:val="nil"/>
              <w:bottom w:val="single" w:sz="8" w:space="0" w:color="auto"/>
              <w:right w:val="nil"/>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b/>
                <w:bCs/>
                <w:lang w:eastAsia="en-GB"/>
              </w:rPr>
            </w:pPr>
          </w:p>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1357</w:t>
            </w:r>
          </w:p>
        </w:tc>
        <w:tc>
          <w:tcPr>
            <w:tcW w:w="1134"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51AB" w:rsidRDefault="007E51AB" w:rsidP="009326A0">
            <w:pPr>
              <w:spacing w:after="0" w:line="240" w:lineRule="auto"/>
              <w:jc w:val="center"/>
              <w:rPr>
                <w:rFonts w:ascii="Calibri" w:eastAsia="Times New Roman" w:hAnsi="Calibri" w:cs="Times New Roman"/>
                <w:b/>
                <w:bCs/>
                <w:lang w:eastAsia="en-GB"/>
              </w:rPr>
            </w:pPr>
          </w:p>
          <w:p w:rsidR="007E51AB" w:rsidRPr="000831FB" w:rsidRDefault="007E51AB" w:rsidP="009326A0">
            <w:pPr>
              <w:spacing w:after="0" w:line="240" w:lineRule="auto"/>
              <w:jc w:val="center"/>
              <w:rPr>
                <w:rFonts w:ascii="Calibri" w:eastAsia="Times New Roman" w:hAnsi="Calibri" w:cs="Times New Roman"/>
                <w:b/>
                <w:bCs/>
                <w:lang w:eastAsia="en-GB"/>
              </w:rPr>
            </w:pPr>
            <w:r w:rsidRPr="000831FB">
              <w:rPr>
                <w:rFonts w:ascii="Calibri" w:eastAsia="Times New Roman" w:hAnsi="Calibri" w:cs="Times New Roman"/>
                <w:b/>
                <w:bCs/>
                <w:lang w:eastAsia="en-GB"/>
              </w:rPr>
              <w:t>12.09%</w:t>
            </w:r>
          </w:p>
        </w:tc>
      </w:tr>
    </w:tbl>
    <w:p w:rsidR="006C384A" w:rsidRPr="00A216FF" w:rsidRDefault="006C384A" w:rsidP="00E87F05">
      <w:pPr>
        <w:ind w:left="709"/>
        <w:rPr>
          <w:rFonts w:ascii="Arial" w:hAnsi="Arial" w:cs="Arial"/>
          <w:sz w:val="24"/>
          <w:szCs w:val="24"/>
        </w:rPr>
      </w:pPr>
    </w:p>
    <w:p w:rsidR="00024372" w:rsidRPr="00A216FF" w:rsidRDefault="00993938" w:rsidP="00E87F05">
      <w:pPr>
        <w:spacing w:after="0"/>
        <w:rPr>
          <w:rFonts w:ascii="Arial" w:hAnsi="Arial" w:cs="Arial"/>
          <w:b/>
          <w:sz w:val="24"/>
          <w:szCs w:val="24"/>
        </w:rPr>
      </w:pPr>
      <w:r>
        <w:rPr>
          <w:rFonts w:ascii="Arial" w:hAnsi="Arial" w:cs="Arial"/>
          <w:b/>
          <w:sz w:val="24"/>
          <w:szCs w:val="24"/>
        </w:rPr>
        <w:tab/>
      </w:r>
      <w:r w:rsidR="00024372" w:rsidRPr="00A216FF">
        <w:rPr>
          <w:rFonts w:ascii="Arial" w:hAnsi="Arial" w:cs="Arial"/>
          <w:b/>
          <w:sz w:val="24"/>
          <w:szCs w:val="24"/>
        </w:rPr>
        <w:t>Table 5d</w:t>
      </w:r>
      <w:r w:rsidR="002E6E13" w:rsidRPr="00A216FF">
        <w:rPr>
          <w:rFonts w:ascii="Arial" w:hAnsi="Arial" w:cs="Arial"/>
          <w:b/>
          <w:sz w:val="24"/>
          <w:szCs w:val="24"/>
        </w:rPr>
        <w:t>:</w:t>
      </w:r>
      <w:r w:rsidR="00024372" w:rsidRPr="00A216FF">
        <w:rPr>
          <w:rFonts w:ascii="Arial" w:hAnsi="Arial" w:cs="Arial"/>
          <w:b/>
          <w:sz w:val="24"/>
          <w:szCs w:val="24"/>
        </w:rPr>
        <w:t xml:space="preserve"> </w:t>
      </w:r>
      <w:r w:rsidR="002E6E13" w:rsidRPr="00A216FF">
        <w:rPr>
          <w:rFonts w:ascii="Arial" w:hAnsi="Arial" w:cs="Arial"/>
          <w:b/>
          <w:sz w:val="24"/>
          <w:szCs w:val="24"/>
        </w:rPr>
        <w:t xml:space="preserve">Breakdown of </w:t>
      </w:r>
      <w:r w:rsidR="00AB30DC" w:rsidRPr="00A216FF">
        <w:rPr>
          <w:rFonts w:ascii="Arial" w:hAnsi="Arial" w:cs="Arial"/>
          <w:b/>
          <w:sz w:val="24"/>
          <w:szCs w:val="24"/>
        </w:rPr>
        <w:t xml:space="preserve">claims by </w:t>
      </w:r>
      <w:r w:rsidR="002E6E13" w:rsidRPr="00A216FF">
        <w:rPr>
          <w:rFonts w:ascii="Arial" w:hAnsi="Arial" w:cs="Arial"/>
          <w:b/>
          <w:sz w:val="24"/>
          <w:szCs w:val="24"/>
        </w:rPr>
        <w:t>disability type</w:t>
      </w:r>
    </w:p>
    <w:p w:rsidR="00993938" w:rsidRDefault="00C75E1F" w:rsidP="00E92838">
      <w:pPr>
        <w:spacing w:after="0"/>
        <w:rPr>
          <w:rFonts w:ascii="Arial" w:hAnsi="Arial" w:cs="Arial"/>
          <w:sz w:val="24"/>
          <w:szCs w:val="24"/>
        </w:rPr>
      </w:pPr>
      <w:r>
        <w:rPr>
          <w:rFonts w:ascii="Arial" w:hAnsi="Arial" w:cs="Arial"/>
          <w:sz w:val="24"/>
          <w:szCs w:val="24"/>
        </w:rPr>
        <w:tab/>
      </w:r>
    </w:p>
    <w:p w:rsidR="00E92838" w:rsidRPr="00A216FF" w:rsidRDefault="00E92838" w:rsidP="00E92838">
      <w:pPr>
        <w:spacing w:after="0"/>
        <w:rPr>
          <w:rFonts w:ascii="Arial" w:hAnsi="Arial" w:cs="Arial"/>
          <w:sz w:val="24"/>
          <w:szCs w:val="24"/>
        </w:rPr>
      </w:pPr>
    </w:p>
    <w:p w:rsidR="005112D6" w:rsidRPr="00A216FF" w:rsidRDefault="00612903" w:rsidP="00E87F05">
      <w:pPr>
        <w:pStyle w:val="ListParagraph"/>
        <w:ind w:left="0"/>
        <w:rPr>
          <w:rFonts w:ascii="Arial" w:hAnsi="Arial" w:cs="Arial"/>
          <w:b/>
          <w:sz w:val="24"/>
          <w:szCs w:val="24"/>
        </w:rPr>
      </w:pPr>
      <w:r>
        <w:rPr>
          <w:rFonts w:ascii="Arial" w:hAnsi="Arial" w:cs="Arial"/>
          <w:b/>
          <w:sz w:val="24"/>
          <w:szCs w:val="24"/>
        </w:rPr>
        <w:t>6</w:t>
      </w:r>
      <w:r w:rsidR="00F707DC">
        <w:rPr>
          <w:rFonts w:ascii="Arial" w:hAnsi="Arial" w:cs="Arial"/>
          <w:b/>
          <w:sz w:val="24"/>
          <w:szCs w:val="24"/>
        </w:rPr>
        <w:t>.</w:t>
      </w:r>
      <w:r>
        <w:rPr>
          <w:rFonts w:ascii="Arial" w:hAnsi="Arial" w:cs="Arial"/>
          <w:b/>
          <w:sz w:val="24"/>
          <w:szCs w:val="24"/>
        </w:rPr>
        <w:t xml:space="preserve">      </w:t>
      </w:r>
      <w:r w:rsidR="005112D6" w:rsidRPr="00A216FF">
        <w:rPr>
          <w:rFonts w:ascii="Arial" w:hAnsi="Arial" w:cs="Arial"/>
          <w:b/>
          <w:sz w:val="24"/>
          <w:szCs w:val="24"/>
        </w:rPr>
        <w:t>Conclusions</w:t>
      </w:r>
    </w:p>
    <w:p w:rsidR="008E49E4" w:rsidRPr="00A216FF" w:rsidRDefault="00E12766" w:rsidP="00E12766">
      <w:pPr>
        <w:pStyle w:val="ListParagraph"/>
        <w:tabs>
          <w:tab w:val="left" w:pos="1770"/>
        </w:tabs>
        <w:ind w:left="0"/>
        <w:rPr>
          <w:rFonts w:ascii="Arial" w:hAnsi="Arial" w:cs="Arial"/>
          <w:sz w:val="24"/>
          <w:szCs w:val="24"/>
        </w:rPr>
      </w:pPr>
      <w:r>
        <w:rPr>
          <w:rFonts w:ascii="Arial" w:hAnsi="Arial" w:cs="Arial"/>
          <w:sz w:val="24"/>
          <w:szCs w:val="24"/>
        </w:rPr>
        <w:tab/>
      </w:r>
    </w:p>
    <w:p w:rsidR="00D0373A" w:rsidRDefault="00AF3757" w:rsidP="00E87F05">
      <w:pPr>
        <w:pStyle w:val="ListParagraph"/>
        <w:ind w:left="567" w:hanging="567"/>
        <w:rPr>
          <w:rFonts w:ascii="Arial" w:hAnsi="Arial" w:cs="Arial"/>
          <w:sz w:val="24"/>
          <w:szCs w:val="24"/>
        </w:rPr>
      </w:pPr>
      <w:r w:rsidRPr="00993938">
        <w:rPr>
          <w:rFonts w:ascii="Arial" w:hAnsi="Arial" w:cs="Arial"/>
          <w:sz w:val="24"/>
          <w:szCs w:val="24"/>
        </w:rPr>
        <w:t>6.1</w:t>
      </w:r>
      <w:r w:rsidRPr="00993938">
        <w:rPr>
          <w:rFonts w:ascii="Arial" w:hAnsi="Arial" w:cs="Arial"/>
          <w:sz w:val="24"/>
          <w:szCs w:val="24"/>
        </w:rPr>
        <w:tab/>
      </w:r>
      <w:r w:rsidR="007A3BAA" w:rsidRPr="00993938">
        <w:rPr>
          <w:rFonts w:ascii="Arial" w:hAnsi="Arial" w:cs="Arial"/>
          <w:sz w:val="24"/>
          <w:szCs w:val="24"/>
        </w:rPr>
        <w:t xml:space="preserve">This year’s </w:t>
      </w:r>
      <w:r w:rsidR="00BD7A14" w:rsidRPr="00993938">
        <w:rPr>
          <w:rFonts w:ascii="Arial" w:hAnsi="Arial" w:cs="Arial"/>
          <w:sz w:val="24"/>
          <w:szCs w:val="24"/>
        </w:rPr>
        <w:t xml:space="preserve">equal opportunities </w:t>
      </w:r>
      <w:r w:rsidR="00C31D90" w:rsidRPr="00993938">
        <w:rPr>
          <w:rFonts w:ascii="Arial" w:hAnsi="Arial" w:cs="Arial"/>
          <w:sz w:val="24"/>
          <w:szCs w:val="24"/>
        </w:rPr>
        <w:t xml:space="preserve">monitoring data indicates </w:t>
      </w:r>
      <w:r w:rsidR="007A3BAA" w:rsidRPr="00993938">
        <w:rPr>
          <w:rFonts w:ascii="Arial" w:hAnsi="Arial" w:cs="Arial"/>
          <w:sz w:val="24"/>
          <w:szCs w:val="24"/>
        </w:rPr>
        <w:t xml:space="preserve">that our processes for extenuating circumstances </w:t>
      </w:r>
      <w:r w:rsidR="00483B46" w:rsidRPr="00993938">
        <w:rPr>
          <w:rFonts w:ascii="Arial" w:hAnsi="Arial" w:cs="Arial"/>
          <w:sz w:val="24"/>
          <w:szCs w:val="24"/>
        </w:rPr>
        <w:t>operated</w:t>
      </w:r>
      <w:r w:rsidR="006E1118" w:rsidRPr="00993938">
        <w:rPr>
          <w:rFonts w:ascii="Arial" w:hAnsi="Arial" w:cs="Arial"/>
          <w:sz w:val="24"/>
          <w:szCs w:val="24"/>
        </w:rPr>
        <w:t xml:space="preserve"> with </w:t>
      </w:r>
      <w:r w:rsidR="001465B3" w:rsidRPr="00993938">
        <w:rPr>
          <w:rFonts w:ascii="Arial" w:hAnsi="Arial" w:cs="Arial"/>
          <w:sz w:val="24"/>
          <w:szCs w:val="24"/>
        </w:rPr>
        <w:t xml:space="preserve">equity </w:t>
      </w:r>
      <w:r w:rsidR="006E1118" w:rsidRPr="00993938">
        <w:rPr>
          <w:rFonts w:ascii="Arial" w:hAnsi="Arial" w:cs="Arial"/>
          <w:sz w:val="24"/>
          <w:szCs w:val="24"/>
        </w:rPr>
        <w:t>and consistenc</w:t>
      </w:r>
      <w:r w:rsidR="00483B46" w:rsidRPr="00993938">
        <w:rPr>
          <w:rFonts w:ascii="Arial" w:hAnsi="Arial" w:cs="Arial"/>
          <w:sz w:val="24"/>
          <w:szCs w:val="24"/>
        </w:rPr>
        <w:t>y</w:t>
      </w:r>
      <w:r w:rsidR="00C31D90" w:rsidRPr="00993938">
        <w:rPr>
          <w:rFonts w:ascii="Arial" w:hAnsi="Arial" w:cs="Arial"/>
          <w:sz w:val="24"/>
          <w:szCs w:val="24"/>
        </w:rPr>
        <w:t xml:space="preserve"> </w:t>
      </w:r>
      <w:r w:rsidR="00D0373A" w:rsidRPr="00993938">
        <w:rPr>
          <w:rFonts w:ascii="Arial" w:hAnsi="Arial" w:cs="Arial"/>
          <w:sz w:val="24"/>
          <w:szCs w:val="24"/>
        </w:rPr>
        <w:t>during</w:t>
      </w:r>
      <w:r w:rsidR="00C31D90" w:rsidRPr="00993938">
        <w:rPr>
          <w:rFonts w:ascii="Arial" w:hAnsi="Arial" w:cs="Arial"/>
          <w:sz w:val="24"/>
          <w:szCs w:val="24"/>
        </w:rPr>
        <w:t xml:space="preserve"> the </w:t>
      </w:r>
      <w:r w:rsidR="0095209A">
        <w:rPr>
          <w:rFonts w:ascii="Arial" w:hAnsi="Arial" w:cs="Arial"/>
          <w:sz w:val="24"/>
          <w:szCs w:val="24"/>
        </w:rPr>
        <w:t>2014-15</w:t>
      </w:r>
      <w:r w:rsidR="00C31D90" w:rsidRPr="00993938">
        <w:rPr>
          <w:rFonts w:ascii="Arial" w:hAnsi="Arial" w:cs="Arial"/>
          <w:sz w:val="24"/>
          <w:szCs w:val="24"/>
        </w:rPr>
        <w:t xml:space="preserve"> academic year.  </w:t>
      </w:r>
    </w:p>
    <w:p w:rsidR="002B0DB5" w:rsidRDefault="002B0DB5" w:rsidP="00E87F05">
      <w:pPr>
        <w:pStyle w:val="ListParagraph"/>
        <w:ind w:left="567" w:hanging="567"/>
        <w:rPr>
          <w:rFonts w:ascii="Arial" w:hAnsi="Arial" w:cs="Arial"/>
          <w:sz w:val="24"/>
          <w:szCs w:val="24"/>
        </w:rPr>
      </w:pPr>
      <w:bookmarkStart w:id="0" w:name="_GoBack"/>
      <w:bookmarkEnd w:id="0"/>
    </w:p>
    <w:p w:rsidR="002B0DB5" w:rsidRDefault="002B0DB5" w:rsidP="00E87F05">
      <w:pPr>
        <w:pStyle w:val="ListParagraph"/>
        <w:ind w:left="567" w:hanging="567"/>
        <w:rPr>
          <w:rFonts w:ascii="Arial" w:hAnsi="Arial" w:cs="Arial"/>
          <w:sz w:val="24"/>
          <w:szCs w:val="24"/>
        </w:rPr>
      </w:pPr>
      <w:r>
        <w:rPr>
          <w:rFonts w:ascii="Arial" w:hAnsi="Arial" w:cs="Arial"/>
          <w:sz w:val="24"/>
          <w:szCs w:val="24"/>
        </w:rPr>
        <w:t>6.2</w:t>
      </w:r>
      <w:r>
        <w:rPr>
          <w:rFonts w:ascii="Arial" w:hAnsi="Arial" w:cs="Arial"/>
          <w:sz w:val="24"/>
          <w:szCs w:val="24"/>
        </w:rPr>
        <w:tab/>
        <w:t xml:space="preserve">The total number of component claims has decreased by </w:t>
      </w:r>
      <w:r w:rsidR="00E92838">
        <w:rPr>
          <w:rFonts w:ascii="Arial" w:hAnsi="Arial" w:cs="Arial"/>
          <w:sz w:val="24"/>
          <w:szCs w:val="24"/>
        </w:rPr>
        <w:t>322</w:t>
      </w:r>
      <w:r>
        <w:rPr>
          <w:rFonts w:ascii="Arial" w:hAnsi="Arial" w:cs="Arial"/>
          <w:sz w:val="24"/>
          <w:szCs w:val="24"/>
        </w:rPr>
        <w:t xml:space="preserve"> which was not what was originally anticipated with the move to the new academic framework for 2014/15.</w:t>
      </w:r>
    </w:p>
    <w:p w:rsidR="002B0DB5" w:rsidRDefault="002B0DB5" w:rsidP="00E87F05">
      <w:pPr>
        <w:pStyle w:val="ListParagraph"/>
        <w:ind w:left="567" w:hanging="567"/>
        <w:rPr>
          <w:rFonts w:ascii="Arial" w:hAnsi="Arial" w:cs="Arial"/>
          <w:sz w:val="24"/>
          <w:szCs w:val="24"/>
        </w:rPr>
      </w:pPr>
    </w:p>
    <w:p w:rsidR="002B0DB5" w:rsidRDefault="002B0DB5" w:rsidP="00E87F05">
      <w:pPr>
        <w:pStyle w:val="ListParagraph"/>
        <w:ind w:left="567" w:hanging="567"/>
        <w:rPr>
          <w:rFonts w:ascii="Arial" w:hAnsi="Arial" w:cs="Arial"/>
          <w:sz w:val="24"/>
          <w:szCs w:val="24"/>
        </w:rPr>
      </w:pPr>
      <w:r>
        <w:rPr>
          <w:rFonts w:ascii="Arial" w:hAnsi="Arial" w:cs="Arial"/>
          <w:sz w:val="24"/>
          <w:szCs w:val="24"/>
        </w:rPr>
        <w:t>6.3</w:t>
      </w:r>
      <w:r>
        <w:rPr>
          <w:rFonts w:ascii="Arial" w:hAnsi="Arial" w:cs="Arial"/>
          <w:sz w:val="24"/>
          <w:szCs w:val="24"/>
        </w:rPr>
        <w:tab/>
        <w:t xml:space="preserve">Although the overall number of component claims is </w:t>
      </w:r>
      <w:r w:rsidR="00E92838">
        <w:rPr>
          <w:rFonts w:ascii="Arial" w:hAnsi="Arial" w:cs="Arial"/>
          <w:sz w:val="24"/>
          <w:szCs w:val="24"/>
        </w:rPr>
        <w:t>fewer that previous years</w:t>
      </w:r>
      <w:r>
        <w:rPr>
          <w:rFonts w:ascii="Arial" w:hAnsi="Arial" w:cs="Arial"/>
          <w:sz w:val="24"/>
          <w:szCs w:val="24"/>
        </w:rPr>
        <w:t xml:space="preserve"> </w:t>
      </w:r>
      <w:r w:rsidR="00E92838">
        <w:rPr>
          <w:rFonts w:ascii="Arial" w:hAnsi="Arial" w:cs="Arial"/>
          <w:sz w:val="24"/>
          <w:szCs w:val="24"/>
        </w:rPr>
        <w:t>the success rate remained steady.</w:t>
      </w:r>
      <w:r>
        <w:rPr>
          <w:rFonts w:ascii="Arial" w:hAnsi="Arial" w:cs="Arial"/>
          <w:sz w:val="24"/>
          <w:szCs w:val="24"/>
        </w:rPr>
        <w:t xml:space="preserve"> </w:t>
      </w:r>
    </w:p>
    <w:p w:rsidR="00993938" w:rsidRDefault="00993938" w:rsidP="00E87F05">
      <w:pPr>
        <w:pStyle w:val="ListParagraph"/>
        <w:ind w:left="567" w:hanging="567"/>
        <w:rPr>
          <w:rFonts w:ascii="Arial" w:hAnsi="Arial" w:cs="Arial"/>
          <w:sz w:val="24"/>
          <w:szCs w:val="24"/>
        </w:rPr>
      </w:pPr>
    </w:p>
    <w:p w:rsidR="009C2377" w:rsidRDefault="009C2377" w:rsidP="00E87F05">
      <w:pPr>
        <w:pStyle w:val="ListParagraph"/>
        <w:ind w:left="567" w:hanging="567"/>
        <w:rPr>
          <w:rFonts w:ascii="Arial" w:hAnsi="Arial" w:cs="Arial"/>
          <w:sz w:val="24"/>
          <w:szCs w:val="24"/>
        </w:rPr>
      </w:pPr>
    </w:p>
    <w:p w:rsidR="006C384A" w:rsidRDefault="00F70E11" w:rsidP="00F70E11">
      <w:pPr>
        <w:pStyle w:val="ListParagraph"/>
        <w:ind w:left="567" w:hanging="567"/>
        <w:rPr>
          <w:rFonts w:ascii="Arial" w:hAnsi="Arial" w:cs="Arial"/>
          <w:b/>
          <w:sz w:val="24"/>
          <w:szCs w:val="24"/>
        </w:rPr>
      </w:pPr>
      <w:r>
        <w:rPr>
          <w:rFonts w:ascii="Arial" w:hAnsi="Arial" w:cs="Arial"/>
          <w:b/>
          <w:sz w:val="24"/>
          <w:szCs w:val="24"/>
        </w:rPr>
        <w:t>7.</w:t>
      </w:r>
      <w:r w:rsidR="006C384A">
        <w:rPr>
          <w:rFonts w:ascii="Arial" w:hAnsi="Arial" w:cs="Arial"/>
          <w:b/>
          <w:sz w:val="24"/>
          <w:szCs w:val="24"/>
        </w:rPr>
        <w:tab/>
      </w:r>
      <w:r>
        <w:rPr>
          <w:rFonts w:ascii="Arial" w:hAnsi="Arial" w:cs="Arial"/>
          <w:b/>
          <w:sz w:val="24"/>
          <w:szCs w:val="24"/>
        </w:rPr>
        <w:t>R</w:t>
      </w:r>
      <w:r w:rsidR="006C384A">
        <w:rPr>
          <w:rFonts w:ascii="Arial" w:hAnsi="Arial" w:cs="Arial"/>
          <w:b/>
          <w:sz w:val="24"/>
          <w:szCs w:val="24"/>
        </w:rPr>
        <w:t>esponse to 2013/14 recommendations</w:t>
      </w:r>
      <w:r>
        <w:rPr>
          <w:rFonts w:ascii="Arial" w:hAnsi="Arial" w:cs="Arial"/>
          <w:b/>
          <w:sz w:val="24"/>
          <w:szCs w:val="24"/>
        </w:rPr>
        <w:br/>
      </w:r>
    </w:p>
    <w:p w:rsidR="006C384A" w:rsidRPr="005108E4" w:rsidRDefault="00F70E11" w:rsidP="00E92838">
      <w:pPr>
        <w:pStyle w:val="ListParagraph"/>
        <w:ind w:left="567" w:hanging="567"/>
        <w:rPr>
          <w:rFonts w:ascii="Arial" w:hAnsi="Arial" w:cs="Arial"/>
          <w:sz w:val="24"/>
          <w:szCs w:val="24"/>
        </w:rPr>
      </w:pPr>
      <w:r>
        <w:rPr>
          <w:rFonts w:ascii="Arial" w:hAnsi="Arial" w:cs="Arial"/>
          <w:sz w:val="24"/>
          <w:szCs w:val="24"/>
        </w:rPr>
        <w:tab/>
        <w:t>7.1</w:t>
      </w:r>
      <w:r>
        <w:rPr>
          <w:rFonts w:ascii="Arial" w:hAnsi="Arial" w:cs="Arial"/>
          <w:sz w:val="24"/>
          <w:szCs w:val="24"/>
        </w:rPr>
        <w:tab/>
      </w:r>
      <w:r w:rsidR="00E92838">
        <w:rPr>
          <w:rFonts w:ascii="Arial" w:hAnsi="Arial" w:cs="Arial"/>
          <w:sz w:val="24"/>
          <w:szCs w:val="24"/>
        </w:rPr>
        <w:t xml:space="preserve">The transition modules were monitored </w:t>
      </w:r>
      <w:r w:rsidR="00DB205F">
        <w:rPr>
          <w:rFonts w:ascii="Arial" w:hAnsi="Arial" w:cs="Arial"/>
          <w:sz w:val="24"/>
          <w:szCs w:val="24"/>
        </w:rPr>
        <w:t xml:space="preserve">and there were insufficient </w:t>
      </w:r>
      <w:r w:rsidR="00E92838">
        <w:rPr>
          <w:rFonts w:ascii="Arial" w:hAnsi="Arial" w:cs="Arial"/>
          <w:sz w:val="24"/>
          <w:szCs w:val="24"/>
        </w:rPr>
        <w:t xml:space="preserve"> </w:t>
      </w:r>
      <w:r w:rsidR="00E92838">
        <w:rPr>
          <w:rFonts w:ascii="Arial" w:hAnsi="Arial" w:cs="Arial"/>
          <w:sz w:val="24"/>
          <w:szCs w:val="24"/>
        </w:rPr>
        <w:tab/>
      </w:r>
      <w:r w:rsidR="00E92838">
        <w:rPr>
          <w:rFonts w:ascii="Arial" w:hAnsi="Arial" w:cs="Arial"/>
          <w:sz w:val="24"/>
          <w:szCs w:val="24"/>
        </w:rPr>
        <w:tab/>
      </w:r>
      <w:r w:rsidR="00DB205F">
        <w:rPr>
          <w:rFonts w:ascii="Arial" w:hAnsi="Arial" w:cs="Arial"/>
          <w:sz w:val="24"/>
          <w:szCs w:val="24"/>
        </w:rPr>
        <w:tab/>
      </w:r>
      <w:r w:rsidR="00E92838">
        <w:rPr>
          <w:rFonts w:ascii="Arial" w:hAnsi="Arial" w:cs="Arial"/>
          <w:sz w:val="24"/>
          <w:szCs w:val="24"/>
        </w:rPr>
        <w:t xml:space="preserve">claimed for to skew the figures. As previously stated in 6.2 </w:t>
      </w:r>
      <w:r w:rsidR="006C384A" w:rsidRPr="005108E4">
        <w:rPr>
          <w:rFonts w:ascii="Arial" w:hAnsi="Arial" w:cs="Arial"/>
          <w:sz w:val="24"/>
          <w:szCs w:val="24"/>
        </w:rPr>
        <w:t xml:space="preserve">the number </w:t>
      </w:r>
      <w:r w:rsidR="00E92838">
        <w:rPr>
          <w:rFonts w:ascii="Arial" w:hAnsi="Arial" w:cs="Arial"/>
          <w:sz w:val="24"/>
          <w:szCs w:val="24"/>
        </w:rPr>
        <w:tab/>
      </w:r>
      <w:r w:rsidR="00E92838">
        <w:rPr>
          <w:rFonts w:ascii="Arial" w:hAnsi="Arial" w:cs="Arial"/>
          <w:sz w:val="24"/>
          <w:szCs w:val="24"/>
        </w:rPr>
        <w:tab/>
      </w:r>
      <w:r w:rsidR="006C384A" w:rsidRPr="005108E4">
        <w:rPr>
          <w:rFonts w:ascii="Arial" w:hAnsi="Arial" w:cs="Arial"/>
          <w:sz w:val="24"/>
          <w:szCs w:val="24"/>
        </w:rPr>
        <w:t>of extenua</w:t>
      </w:r>
      <w:r w:rsidR="006C384A">
        <w:rPr>
          <w:rFonts w:ascii="Arial" w:hAnsi="Arial" w:cs="Arial"/>
          <w:sz w:val="24"/>
          <w:szCs w:val="24"/>
        </w:rPr>
        <w:t>ting claims submitted</w:t>
      </w:r>
      <w:r w:rsidR="00E92838">
        <w:rPr>
          <w:rFonts w:ascii="Arial" w:hAnsi="Arial" w:cs="Arial"/>
          <w:sz w:val="24"/>
          <w:szCs w:val="24"/>
        </w:rPr>
        <w:t xml:space="preserve"> did not increase significantly so </w:t>
      </w:r>
      <w:r w:rsidR="00E92838">
        <w:rPr>
          <w:rFonts w:ascii="Arial" w:hAnsi="Arial" w:cs="Arial"/>
          <w:sz w:val="24"/>
          <w:szCs w:val="24"/>
        </w:rPr>
        <w:tab/>
      </w:r>
      <w:r w:rsidR="00E92838">
        <w:rPr>
          <w:rFonts w:ascii="Arial" w:hAnsi="Arial" w:cs="Arial"/>
          <w:sz w:val="24"/>
          <w:szCs w:val="24"/>
        </w:rPr>
        <w:tab/>
      </w:r>
      <w:r w:rsidR="00E92838">
        <w:rPr>
          <w:rFonts w:ascii="Arial" w:hAnsi="Arial" w:cs="Arial"/>
          <w:sz w:val="24"/>
          <w:szCs w:val="24"/>
        </w:rPr>
        <w:tab/>
        <w:t xml:space="preserve">therefore a review was not necessary. </w:t>
      </w:r>
    </w:p>
    <w:p w:rsidR="006C384A" w:rsidRPr="00D50561" w:rsidRDefault="006C384A" w:rsidP="00E87F05">
      <w:pPr>
        <w:ind w:firstLine="284"/>
        <w:rPr>
          <w:rFonts w:ascii="Arial" w:hAnsi="Arial" w:cs="Arial"/>
          <w:sz w:val="24"/>
          <w:szCs w:val="24"/>
        </w:rPr>
      </w:pPr>
      <w:r w:rsidRPr="005108E4">
        <w:rPr>
          <w:rFonts w:ascii="Arial" w:hAnsi="Arial" w:cs="Arial"/>
          <w:sz w:val="24"/>
          <w:szCs w:val="24"/>
        </w:rPr>
        <w:tab/>
        <w:t>7.2</w:t>
      </w:r>
      <w:r w:rsidRPr="005108E4">
        <w:rPr>
          <w:rFonts w:ascii="Arial" w:hAnsi="Arial" w:cs="Arial"/>
          <w:sz w:val="24"/>
          <w:szCs w:val="24"/>
        </w:rPr>
        <w:tab/>
      </w:r>
      <w:r w:rsidR="00E92838">
        <w:rPr>
          <w:rFonts w:ascii="Arial" w:hAnsi="Arial" w:cs="Arial"/>
          <w:sz w:val="24"/>
          <w:szCs w:val="24"/>
        </w:rPr>
        <w:t>The</w:t>
      </w:r>
      <w:r w:rsidRPr="005108E4">
        <w:rPr>
          <w:rFonts w:ascii="Arial" w:hAnsi="Arial" w:cs="Arial"/>
          <w:sz w:val="24"/>
          <w:szCs w:val="24"/>
        </w:rPr>
        <w:t xml:space="preserve"> impact of the new centralised Student </w:t>
      </w:r>
      <w:r w:rsidR="00E92838">
        <w:rPr>
          <w:rFonts w:ascii="Arial" w:hAnsi="Arial" w:cs="Arial"/>
          <w:sz w:val="24"/>
          <w:szCs w:val="24"/>
        </w:rPr>
        <w:t>Hubs:</w:t>
      </w:r>
      <w:r w:rsidRPr="005108E4">
        <w:rPr>
          <w:rFonts w:ascii="Arial" w:hAnsi="Arial" w:cs="Arial"/>
          <w:sz w:val="24"/>
          <w:szCs w:val="24"/>
        </w:rPr>
        <w:br/>
      </w:r>
      <w:r w:rsidRPr="005108E4">
        <w:rPr>
          <w:rFonts w:ascii="Arial" w:hAnsi="Arial" w:cs="Arial"/>
          <w:sz w:val="24"/>
          <w:szCs w:val="24"/>
        </w:rPr>
        <w:tab/>
      </w:r>
      <w:r w:rsidRPr="005108E4">
        <w:rPr>
          <w:rFonts w:ascii="Arial" w:hAnsi="Arial" w:cs="Arial"/>
          <w:sz w:val="24"/>
          <w:szCs w:val="24"/>
        </w:rPr>
        <w:tab/>
        <w:t xml:space="preserve">     </w:t>
      </w:r>
      <w:proofErr w:type="spellStart"/>
      <w:r w:rsidRPr="005108E4">
        <w:rPr>
          <w:rFonts w:ascii="Arial" w:hAnsi="Arial" w:cs="Arial"/>
          <w:sz w:val="24"/>
          <w:szCs w:val="24"/>
        </w:rPr>
        <w:t>i</w:t>
      </w:r>
      <w:proofErr w:type="spellEnd"/>
      <w:r w:rsidRPr="005108E4">
        <w:rPr>
          <w:rFonts w:ascii="Arial" w:hAnsi="Arial" w:cs="Arial"/>
          <w:sz w:val="24"/>
          <w:szCs w:val="24"/>
        </w:rPr>
        <w:t>)</w:t>
      </w:r>
      <w:r w:rsidRPr="005108E4">
        <w:rPr>
          <w:rFonts w:ascii="Arial" w:hAnsi="Arial" w:cs="Arial"/>
          <w:sz w:val="24"/>
          <w:szCs w:val="24"/>
        </w:rPr>
        <w:tab/>
        <w:t xml:space="preserve">The </w:t>
      </w:r>
      <w:r>
        <w:rPr>
          <w:rFonts w:ascii="Arial" w:hAnsi="Arial" w:cs="Arial"/>
          <w:sz w:val="24"/>
          <w:szCs w:val="24"/>
        </w:rPr>
        <w:t>students</w:t>
      </w:r>
      <w:r w:rsidRPr="005108E4">
        <w:rPr>
          <w:rFonts w:ascii="Arial" w:hAnsi="Arial" w:cs="Arial"/>
          <w:sz w:val="24"/>
          <w:szCs w:val="24"/>
        </w:rPr>
        <w:t xml:space="preserve">’ completed extenuating </w:t>
      </w:r>
      <w:r w:rsidRPr="005108E4">
        <w:rPr>
          <w:rFonts w:ascii="Arial" w:hAnsi="Arial" w:cs="Arial"/>
          <w:sz w:val="24"/>
          <w:szCs w:val="24"/>
        </w:rPr>
        <w:tab/>
      </w:r>
      <w:r w:rsidRPr="005108E4">
        <w:rPr>
          <w:rFonts w:ascii="Arial" w:hAnsi="Arial" w:cs="Arial"/>
          <w:sz w:val="24"/>
          <w:szCs w:val="24"/>
        </w:rPr>
        <w:tab/>
      </w:r>
      <w:r w:rsidRPr="005108E4">
        <w:rPr>
          <w:rFonts w:ascii="Arial" w:hAnsi="Arial" w:cs="Arial"/>
          <w:sz w:val="24"/>
          <w:szCs w:val="24"/>
        </w:rPr>
        <w:tab/>
      </w:r>
      <w:r w:rsidRPr="005108E4">
        <w:rPr>
          <w:rFonts w:ascii="Arial" w:hAnsi="Arial" w:cs="Arial"/>
          <w:sz w:val="24"/>
          <w:szCs w:val="24"/>
        </w:rPr>
        <w:tab/>
      </w:r>
      <w:r>
        <w:rPr>
          <w:rFonts w:ascii="Arial" w:hAnsi="Arial" w:cs="Arial"/>
          <w:sz w:val="24"/>
          <w:szCs w:val="24"/>
        </w:rPr>
        <w:tab/>
      </w:r>
      <w:r w:rsidR="00E92838">
        <w:rPr>
          <w:rFonts w:ascii="Arial" w:hAnsi="Arial" w:cs="Arial"/>
          <w:sz w:val="24"/>
          <w:szCs w:val="24"/>
        </w:rPr>
        <w:tab/>
      </w:r>
      <w:r w:rsidR="00E92838">
        <w:rPr>
          <w:rFonts w:ascii="Arial" w:hAnsi="Arial" w:cs="Arial"/>
          <w:sz w:val="24"/>
          <w:szCs w:val="24"/>
        </w:rPr>
        <w:tab/>
        <w:t xml:space="preserve">circumstances forms have </w:t>
      </w:r>
      <w:r w:rsidRPr="00D50561">
        <w:rPr>
          <w:rFonts w:ascii="Arial" w:hAnsi="Arial" w:cs="Arial"/>
          <w:color w:val="000000" w:themeColor="text1"/>
          <w:sz w:val="24"/>
          <w:szCs w:val="24"/>
        </w:rPr>
        <w:t>varying degrees of accuracy</w:t>
      </w:r>
      <w:r w:rsidR="00E92838" w:rsidRPr="00D50561">
        <w:rPr>
          <w:rFonts w:ascii="Arial" w:hAnsi="Arial" w:cs="Arial"/>
          <w:color w:val="000000" w:themeColor="text1"/>
          <w:sz w:val="24"/>
          <w:szCs w:val="24"/>
        </w:rPr>
        <w:t xml:space="preserve"> </w:t>
      </w:r>
      <w:r w:rsidRPr="00D50561">
        <w:rPr>
          <w:rFonts w:ascii="Arial" w:hAnsi="Arial" w:cs="Arial"/>
          <w:color w:val="000000" w:themeColor="text1"/>
          <w:sz w:val="24"/>
          <w:szCs w:val="24"/>
        </w:rPr>
        <w:br/>
      </w:r>
      <w:r w:rsidRPr="00D50561">
        <w:rPr>
          <w:rFonts w:ascii="Arial" w:hAnsi="Arial" w:cs="Arial"/>
          <w:color w:val="000000" w:themeColor="text1"/>
          <w:sz w:val="24"/>
          <w:szCs w:val="24"/>
        </w:rPr>
        <w:tab/>
      </w:r>
      <w:r w:rsidRPr="00D50561">
        <w:rPr>
          <w:rFonts w:ascii="Arial" w:hAnsi="Arial" w:cs="Arial"/>
          <w:color w:val="000000" w:themeColor="text1"/>
          <w:sz w:val="24"/>
          <w:szCs w:val="24"/>
        </w:rPr>
        <w:tab/>
        <w:t xml:space="preserve">    </w:t>
      </w:r>
      <w:r w:rsidRPr="00D50561">
        <w:rPr>
          <w:rFonts w:ascii="Arial" w:hAnsi="Arial" w:cs="Arial"/>
          <w:color w:val="000000" w:themeColor="text1"/>
          <w:sz w:val="24"/>
          <w:szCs w:val="24"/>
        </w:rPr>
        <w:tab/>
        <w:t>between</w:t>
      </w:r>
      <w:r w:rsidR="00E92838" w:rsidRPr="00D50561">
        <w:rPr>
          <w:rFonts w:ascii="Arial" w:hAnsi="Arial" w:cs="Arial"/>
          <w:color w:val="000000" w:themeColor="text1"/>
          <w:sz w:val="24"/>
          <w:szCs w:val="24"/>
        </w:rPr>
        <w:t xml:space="preserve"> the Stratford and</w:t>
      </w:r>
      <w:r w:rsidRPr="00D50561">
        <w:rPr>
          <w:rFonts w:ascii="Arial" w:hAnsi="Arial" w:cs="Arial"/>
          <w:color w:val="000000" w:themeColor="text1"/>
          <w:sz w:val="24"/>
          <w:szCs w:val="24"/>
        </w:rPr>
        <w:t xml:space="preserve"> Docklands</w:t>
      </w:r>
      <w:r w:rsidR="00E92838" w:rsidRPr="00D50561">
        <w:rPr>
          <w:rFonts w:ascii="Arial" w:hAnsi="Arial" w:cs="Arial"/>
          <w:color w:val="000000" w:themeColor="text1"/>
          <w:sz w:val="24"/>
          <w:szCs w:val="24"/>
        </w:rPr>
        <w:t xml:space="preserve"> Hubs;</w:t>
      </w:r>
      <w:r w:rsidRPr="00D50561">
        <w:rPr>
          <w:rFonts w:ascii="Arial" w:hAnsi="Arial" w:cs="Arial"/>
          <w:color w:val="000000" w:themeColor="text1"/>
          <w:sz w:val="24"/>
          <w:szCs w:val="24"/>
        </w:rPr>
        <w:br/>
      </w:r>
      <w:r w:rsidRPr="00D50561">
        <w:rPr>
          <w:rFonts w:ascii="Arial" w:hAnsi="Arial" w:cs="Arial"/>
          <w:color w:val="000000" w:themeColor="text1"/>
          <w:sz w:val="24"/>
          <w:szCs w:val="24"/>
        </w:rPr>
        <w:tab/>
      </w:r>
      <w:r w:rsidRPr="00D50561">
        <w:rPr>
          <w:rFonts w:ascii="Arial" w:hAnsi="Arial" w:cs="Arial"/>
          <w:color w:val="000000" w:themeColor="text1"/>
          <w:sz w:val="24"/>
          <w:szCs w:val="24"/>
        </w:rPr>
        <w:tab/>
        <w:t xml:space="preserve">     </w:t>
      </w:r>
      <w:r w:rsidR="00D50561">
        <w:rPr>
          <w:rFonts w:ascii="Arial" w:hAnsi="Arial" w:cs="Arial"/>
          <w:color w:val="000000" w:themeColor="text1"/>
          <w:sz w:val="24"/>
          <w:szCs w:val="24"/>
        </w:rPr>
        <w:t>ii</w:t>
      </w:r>
      <w:r w:rsidRPr="00D50561">
        <w:rPr>
          <w:rFonts w:ascii="Arial" w:hAnsi="Arial" w:cs="Arial"/>
          <w:color w:val="000000" w:themeColor="text1"/>
          <w:sz w:val="24"/>
          <w:szCs w:val="24"/>
        </w:rPr>
        <w:t xml:space="preserve">) </w:t>
      </w:r>
      <w:r w:rsidRPr="00D50561">
        <w:rPr>
          <w:rFonts w:ascii="Arial" w:hAnsi="Arial" w:cs="Arial"/>
          <w:color w:val="000000" w:themeColor="text1"/>
          <w:sz w:val="24"/>
          <w:szCs w:val="24"/>
        </w:rPr>
        <w:tab/>
        <w:t>The consistency of the completed</w:t>
      </w:r>
      <w:r w:rsidRPr="00D50561">
        <w:rPr>
          <w:rFonts w:ascii="Arial" w:hAnsi="Arial" w:cs="Arial"/>
          <w:color w:val="000000" w:themeColor="text1"/>
          <w:sz w:val="24"/>
          <w:szCs w:val="24"/>
        </w:rPr>
        <w:tab/>
      </w:r>
      <w:r w:rsidRPr="00D50561">
        <w:rPr>
          <w:rFonts w:ascii="Arial" w:hAnsi="Arial" w:cs="Arial"/>
          <w:color w:val="000000" w:themeColor="text1"/>
          <w:sz w:val="24"/>
          <w:szCs w:val="24"/>
        </w:rPr>
        <w:tab/>
      </w:r>
      <w:r w:rsidRPr="00D50561">
        <w:rPr>
          <w:rFonts w:ascii="Arial" w:hAnsi="Arial" w:cs="Arial"/>
          <w:color w:val="000000" w:themeColor="text1"/>
          <w:sz w:val="24"/>
          <w:szCs w:val="24"/>
        </w:rPr>
        <w:tab/>
      </w:r>
      <w:r w:rsidRPr="00D50561">
        <w:rPr>
          <w:rFonts w:ascii="Arial" w:hAnsi="Arial" w:cs="Arial"/>
          <w:color w:val="000000" w:themeColor="text1"/>
          <w:sz w:val="24"/>
          <w:szCs w:val="24"/>
        </w:rPr>
        <w:tab/>
      </w:r>
      <w:r w:rsidRPr="00D50561">
        <w:rPr>
          <w:rFonts w:ascii="Arial" w:hAnsi="Arial" w:cs="Arial"/>
          <w:color w:val="000000" w:themeColor="text1"/>
          <w:sz w:val="24"/>
          <w:szCs w:val="24"/>
        </w:rPr>
        <w:tab/>
      </w:r>
      <w:r w:rsidR="00D50561" w:rsidRPr="00D50561">
        <w:rPr>
          <w:rFonts w:ascii="Arial" w:hAnsi="Arial" w:cs="Arial"/>
          <w:color w:val="000000" w:themeColor="text1"/>
          <w:sz w:val="24"/>
          <w:szCs w:val="24"/>
        </w:rPr>
        <w:tab/>
      </w:r>
      <w:r w:rsidR="00D50561" w:rsidRPr="00D50561">
        <w:rPr>
          <w:rFonts w:ascii="Arial" w:hAnsi="Arial" w:cs="Arial"/>
          <w:color w:val="000000" w:themeColor="text1"/>
          <w:sz w:val="24"/>
          <w:szCs w:val="24"/>
        </w:rPr>
        <w:tab/>
      </w:r>
      <w:r w:rsidR="00D50561" w:rsidRPr="00D50561">
        <w:rPr>
          <w:rFonts w:ascii="Arial" w:hAnsi="Arial" w:cs="Arial"/>
          <w:color w:val="000000" w:themeColor="text1"/>
          <w:sz w:val="24"/>
          <w:szCs w:val="24"/>
        </w:rPr>
        <w:tab/>
      </w:r>
      <w:r w:rsidRPr="00D50561">
        <w:rPr>
          <w:rFonts w:ascii="Arial" w:hAnsi="Arial" w:cs="Arial"/>
          <w:color w:val="000000" w:themeColor="text1"/>
          <w:sz w:val="24"/>
          <w:szCs w:val="24"/>
        </w:rPr>
        <w:t xml:space="preserve">Extenuating Circumstances spreadsheets </w:t>
      </w:r>
      <w:r w:rsidR="00D50561" w:rsidRPr="00D50561">
        <w:rPr>
          <w:rFonts w:ascii="Arial" w:hAnsi="Arial" w:cs="Arial"/>
          <w:color w:val="000000" w:themeColor="text1"/>
          <w:sz w:val="24"/>
          <w:szCs w:val="24"/>
        </w:rPr>
        <w:t xml:space="preserve">have </w:t>
      </w:r>
      <w:r w:rsidRPr="00D50561">
        <w:rPr>
          <w:rFonts w:ascii="Arial" w:hAnsi="Arial" w:cs="Arial"/>
          <w:color w:val="000000" w:themeColor="text1"/>
          <w:sz w:val="24"/>
          <w:szCs w:val="24"/>
        </w:rPr>
        <w:t>varying degrees</w:t>
      </w:r>
      <w:r w:rsidR="00D50561" w:rsidRPr="00D50561">
        <w:rPr>
          <w:rFonts w:ascii="Arial" w:hAnsi="Arial" w:cs="Arial"/>
          <w:color w:val="000000" w:themeColor="text1"/>
          <w:sz w:val="24"/>
          <w:szCs w:val="24"/>
        </w:rPr>
        <w:t xml:space="preserve"> </w:t>
      </w:r>
      <w:r w:rsidR="00D50561" w:rsidRPr="00D50561">
        <w:rPr>
          <w:rFonts w:ascii="Arial" w:hAnsi="Arial" w:cs="Arial"/>
          <w:color w:val="000000" w:themeColor="text1"/>
          <w:sz w:val="24"/>
          <w:szCs w:val="24"/>
        </w:rPr>
        <w:tab/>
      </w:r>
      <w:r w:rsidR="00D50561" w:rsidRPr="00D50561">
        <w:rPr>
          <w:rFonts w:ascii="Arial" w:hAnsi="Arial" w:cs="Arial"/>
          <w:color w:val="000000" w:themeColor="text1"/>
          <w:sz w:val="24"/>
          <w:szCs w:val="24"/>
        </w:rPr>
        <w:tab/>
      </w:r>
      <w:r w:rsidR="00D50561" w:rsidRPr="00D50561">
        <w:rPr>
          <w:rFonts w:ascii="Arial" w:hAnsi="Arial" w:cs="Arial"/>
          <w:color w:val="000000" w:themeColor="text1"/>
          <w:sz w:val="24"/>
          <w:szCs w:val="24"/>
        </w:rPr>
        <w:tab/>
        <w:t xml:space="preserve">of accuracy </w:t>
      </w:r>
      <w:r w:rsidRPr="00D50561">
        <w:rPr>
          <w:rFonts w:ascii="Arial" w:hAnsi="Arial" w:cs="Arial"/>
          <w:color w:val="000000" w:themeColor="text1"/>
          <w:sz w:val="24"/>
          <w:szCs w:val="24"/>
        </w:rPr>
        <w:t xml:space="preserve">between </w:t>
      </w:r>
      <w:r w:rsidR="00D50561" w:rsidRPr="00D50561">
        <w:rPr>
          <w:rFonts w:ascii="Arial" w:hAnsi="Arial" w:cs="Arial"/>
          <w:color w:val="000000" w:themeColor="text1"/>
          <w:sz w:val="24"/>
          <w:szCs w:val="24"/>
        </w:rPr>
        <w:t>the Stratford and</w:t>
      </w:r>
      <w:r w:rsidRPr="00D50561">
        <w:rPr>
          <w:rFonts w:ascii="Arial" w:hAnsi="Arial" w:cs="Arial"/>
          <w:color w:val="000000" w:themeColor="text1"/>
          <w:sz w:val="24"/>
          <w:szCs w:val="24"/>
        </w:rPr>
        <w:t xml:space="preserve"> Docklands</w:t>
      </w:r>
      <w:r w:rsidR="00D50561" w:rsidRPr="00D50561">
        <w:rPr>
          <w:rFonts w:ascii="Arial" w:hAnsi="Arial" w:cs="Arial"/>
          <w:color w:val="000000" w:themeColor="text1"/>
          <w:sz w:val="24"/>
          <w:szCs w:val="24"/>
        </w:rPr>
        <w:t xml:space="preserve"> Hubs.</w:t>
      </w:r>
      <w:r w:rsidR="00D50561">
        <w:rPr>
          <w:rFonts w:ascii="Arial" w:hAnsi="Arial" w:cs="Arial"/>
          <w:sz w:val="24"/>
          <w:szCs w:val="24"/>
        </w:rPr>
        <w:br/>
      </w:r>
    </w:p>
    <w:p w:rsidR="00996A29" w:rsidRDefault="0002444E" w:rsidP="00E87F05">
      <w:pPr>
        <w:pStyle w:val="ListParagraph"/>
        <w:ind w:left="567" w:hanging="567"/>
        <w:rPr>
          <w:rFonts w:ascii="Arial" w:hAnsi="Arial" w:cs="Arial"/>
          <w:sz w:val="24"/>
          <w:szCs w:val="24"/>
        </w:rPr>
      </w:pPr>
      <w:r>
        <w:rPr>
          <w:rFonts w:ascii="Arial" w:hAnsi="Arial" w:cs="Arial"/>
          <w:b/>
          <w:sz w:val="24"/>
          <w:szCs w:val="24"/>
        </w:rPr>
        <w:tab/>
      </w:r>
      <w:r>
        <w:rPr>
          <w:rFonts w:ascii="Arial" w:hAnsi="Arial" w:cs="Arial"/>
          <w:b/>
          <w:sz w:val="24"/>
          <w:szCs w:val="24"/>
        </w:rPr>
        <w:tab/>
      </w:r>
      <w:r w:rsidR="00F70E11" w:rsidRPr="00F70E11">
        <w:rPr>
          <w:rFonts w:ascii="Arial" w:hAnsi="Arial" w:cs="Arial"/>
          <w:sz w:val="24"/>
          <w:szCs w:val="24"/>
        </w:rPr>
        <w:t>7.3</w:t>
      </w:r>
      <w:r>
        <w:rPr>
          <w:rFonts w:ascii="Arial" w:hAnsi="Arial" w:cs="Arial"/>
          <w:sz w:val="24"/>
          <w:szCs w:val="24"/>
        </w:rPr>
        <w:tab/>
      </w:r>
      <w:r w:rsidR="00D50561">
        <w:rPr>
          <w:rFonts w:ascii="Arial" w:hAnsi="Arial" w:cs="Arial"/>
          <w:sz w:val="24"/>
          <w:szCs w:val="24"/>
        </w:rPr>
        <w:t xml:space="preserve">It was noted in the 2013/14 report that the number of claims may </w:t>
      </w:r>
      <w:r w:rsidR="00D50561">
        <w:rPr>
          <w:rFonts w:ascii="Arial" w:hAnsi="Arial" w:cs="Arial"/>
          <w:sz w:val="24"/>
          <w:szCs w:val="24"/>
        </w:rPr>
        <w:tab/>
      </w:r>
      <w:r w:rsidR="00D50561">
        <w:rPr>
          <w:rFonts w:ascii="Arial" w:hAnsi="Arial" w:cs="Arial"/>
          <w:sz w:val="24"/>
          <w:szCs w:val="24"/>
        </w:rPr>
        <w:tab/>
      </w:r>
      <w:r w:rsidR="00D50561">
        <w:rPr>
          <w:rFonts w:ascii="Arial" w:hAnsi="Arial" w:cs="Arial"/>
          <w:sz w:val="24"/>
          <w:szCs w:val="24"/>
        </w:rPr>
        <w:tab/>
        <w:t xml:space="preserve">increase due to the introduction of transition modules as a result of the </w:t>
      </w:r>
      <w:r w:rsidR="00D50561">
        <w:rPr>
          <w:rFonts w:ascii="Arial" w:hAnsi="Arial" w:cs="Arial"/>
          <w:sz w:val="24"/>
          <w:szCs w:val="24"/>
        </w:rPr>
        <w:tab/>
      </w:r>
      <w:r w:rsidR="00D50561">
        <w:rPr>
          <w:rFonts w:ascii="Arial" w:hAnsi="Arial" w:cs="Arial"/>
          <w:sz w:val="24"/>
          <w:szCs w:val="24"/>
        </w:rPr>
        <w:tab/>
        <w:t xml:space="preserve">new academic framework. This has not materialised as the number of </w:t>
      </w:r>
      <w:r w:rsidR="00D50561">
        <w:rPr>
          <w:rFonts w:ascii="Arial" w:hAnsi="Arial" w:cs="Arial"/>
          <w:sz w:val="24"/>
          <w:szCs w:val="24"/>
        </w:rPr>
        <w:tab/>
      </w:r>
      <w:r w:rsidR="00D50561">
        <w:rPr>
          <w:rFonts w:ascii="Arial" w:hAnsi="Arial" w:cs="Arial"/>
          <w:sz w:val="24"/>
          <w:szCs w:val="24"/>
        </w:rPr>
        <w:tab/>
        <w:t xml:space="preserve">claims has reduced. However this will continue to be monitored as </w:t>
      </w:r>
      <w:r w:rsidR="00D50561">
        <w:rPr>
          <w:rFonts w:ascii="Arial" w:hAnsi="Arial" w:cs="Arial"/>
          <w:sz w:val="24"/>
          <w:szCs w:val="24"/>
        </w:rPr>
        <w:tab/>
      </w:r>
      <w:r w:rsidR="00D50561">
        <w:rPr>
          <w:rFonts w:ascii="Arial" w:hAnsi="Arial" w:cs="Arial"/>
          <w:sz w:val="24"/>
          <w:szCs w:val="24"/>
        </w:rPr>
        <w:tab/>
      </w:r>
      <w:r w:rsidR="00D50561">
        <w:rPr>
          <w:rFonts w:ascii="Arial" w:hAnsi="Arial" w:cs="Arial"/>
          <w:sz w:val="24"/>
          <w:szCs w:val="24"/>
        </w:rPr>
        <w:tab/>
        <w:t xml:space="preserve">transition modules are still available and being taken by students that </w:t>
      </w:r>
      <w:r w:rsidR="00D50561">
        <w:rPr>
          <w:rFonts w:ascii="Arial" w:hAnsi="Arial" w:cs="Arial"/>
          <w:sz w:val="24"/>
          <w:szCs w:val="24"/>
        </w:rPr>
        <w:tab/>
      </w:r>
      <w:r w:rsidR="00D50561">
        <w:rPr>
          <w:rFonts w:ascii="Arial" w:hAnsi="Arial" w:cs="Arial"/>
          <w:sz w:val="24"/>
          <w:szCs w:val="24"/>
        </w:rPr>
        <w:tab/>
        <w:t>have a credit deficit.</w:t>
      </w:r>
      <w:r>
        <w:rPr>
          <w:rFonts w:ascii="Arial" w:hAnsi="Arial" w:cs="Arial"/>
          <w:sz w:val="24"/>
          <w:szCs w:val="24"/>
        </w:rPr>
        <w:br/>
      </w:r>
      <w:r>
        <w:rPr>
          <w:rFonts w:ascii="Arial" w:hAnsi="Arial" w:cs="Arial"/>
          <w:sz w:val="24"/>
          <w:szCs w:val="24"/>
        </w:rPr>
        <w:br/>
      </w:r>
      <w:r>
        <w:rPr>
          <w:rFonts w:ascii="Arial" w:hAnsi="Arial" w:cs="Arial"/>
          <w:sz w:val="24"/>
          <w:szCs w:val="24"/>
        </w:rPr>
        <w:tab/>
      </w:r>
      <w:r w:rsidR="00F70E11">
        <w:rPr>
          <w:rFonts w:ascii="Arial" w:hAnsi="Arial" w:cs="Arial"/>
          <w:sz w:val="24"/>
          <w:szCs w:val="24"/>
        </w:rPr>
        <w:t>7.4</w:t>
      </w:r>
      <w:r w:rsidR="00D50561">
        <w:rPr>
          <w:rFonts w:ascii="Arial" w:hAnsi="Arial" w:cs="Arial"/>
          <w:sz w:val="24"/>
          <w:szCs w:val="24"/>
        </w:rPr>
        <w:tab/>
        <w:t>It was</w:t>
      </w:r>
      <w:r>
        <w:rPr>
          <w:rFonts w:ascii="Arial" w:hAnsi="Arial" w:cs="Arial"/>
          <w:sz w:val="24"/>
          <w:szCs w:val="24"/>
        </w:rPr>
        <w:t xml:space="preserve"> anticipated</w:t>
      </w:r>
      <w:r w:rsidR="00D50561">
        <w:rPr>
          <w:rFonts w:ascii="Arial" w:hAnsi="Arial" w:cs="Arial"/>
          <w:sz w:val="24"/>
          <w:szCs w:val="24"/>
        </w:rPr>
        <w:t xml:space="preserve"> in the 2013/14 report </w:t>
      </w:r>
      <w:r>
        <w:rPr>
          <w:rFonts w:ascii="Arial" w:hAnsi="Arial" w:cs="Arial"/>
          <w:sz w:val="24"/>
          <w:szCs w:val="24"/>
        </w:rPr>
        <w:t>that the new Academ</w:t>
      </w:r>
      <w:r w:rsidR="00D50561">
        <w:rPr>
          <w:rFonts w:ascii="Arial" w:hAnsi="Arial" w:cs="Arial"/>
          <w:sz w:val="24"/>
          <w:szCs w:val="24"/>
        </w:rPr>
        <w:t xml:space="preserve">ic </w:t>
      </w:r>
      <w:r w:rsidR="00D50561">
        <w:rPr>
          <w:rFonts w:ascii="Arial" w:hAnsi="Arial" w:cs="Arial"/>
          <w:sz w:val="24"/>
          <w:szCs w:val="24"/>
        </w:rPr>
        <w:tab/>
      </w:r>
      <w:r w:rsidR="00D50561">
        <w:rPr>
          <w:rFonts w:ascii="Arial" w:hAnsi="Arial" w:cs="Arial"/>
          <w:sz w:val="24"/>
          <w:szCs w:val="24"/>
        </w:rPr>
        <w:tab/>
      </w:r>
      <w:r w:rsidR="00D50561">
        <w:rPr>
          <w:rFonts w:ascii="Arial" w:hAnsi="Arial" w:cs="Arial"/>
          <w:sz w:val="24"/>
          <w:szCs w:val="24"/>
        </w:rPr>
        <w:tab/>
        <w:t xml:space="preserve">Framework may lead to a </w:t>
      </w:r>
      <w:r w:rsidR="00D50561">
        <w:rPr>
          <w:rFonts w:ascii="Arial" w:hAnsi="Arial" w:cs="Arial"/>
          <w:sz w:val="24"/>
          <w:szCs w:val="24"/>
        </w:rPr>
        <w:tab/>
      </w:r>
      <w:r>
        <w:rPr>
          <w:rFonts w:ascii="Arial" w:hAnsi="Arial" w:cs="Arial"/>
          <w:sz w:val="24"/>
          <w:szCs w:val="24"/>
        </w:rPr>
        <w:t xml:space="preserve">decrease in extenuation claims in the longer </w:t>
      </w:r>
      <w:r w:rsidR="00D50561">
        <w:rPr>
          <w:rFonts w:ascii="Arial" w:hAnsi="Arial" w:cs="Arial"/>
          <w:sz w:val="24"/>
          <w:szCs w:val="24"/>
        </w:rPr>
        <w:tab/>
      </w:r>
      <w:r w:rsidR="00D50561">
        <w:rPr>
          <w:rFonts w:ascii="Arial" w:hAnsi="Arial" w:cs="Arial"/>
          <w:sz w:val="24"/>
          <w:szCs w:val="24"/>
        </w:rPr>
        <w:tab/>
        <w:t xml:space="preserve">term as going </w:t>
      </w:r>
      <w:r>
        <w:rPr>
          <w:rFonts w:ascii="Arial" w:hAnsi="Arial" w:cs="Arial"/>
          <w:sz w:val="24"/>
          <w:szCs w:val="24"/>
        </w:rPr>
        <w:t>forward students will o</w:t>
      </w:r>
      <w:r w:rsidR="00D50561">
        <w:rPr>
          <w:rFonts w:ascii="Arial" w:hAnsi="Arial" w:cs="Arial"/>
          <w:sz w:val="24"/>
          <w:szCs w:val="24"/>
        </w:rPr>
        <w:t>nly have two</w:t>
      </w:r>
      <w:r w:rsidR="007B1E0C">
        <w:rPr>
          <w:rFonts w:ascii="Arial" w:hAnsi="Arial" w:cs="Arial"/>
          <w:sz w:val="24"/>
          <w:szCs w:val="24"/>
        </w:rPr>
        <w:t xml:space="preserve"> opportunities at</w:t>
      </w:r>
      <w:r w:rsidR="00D50561">
        <w:rPr>
          <w:rFonts w:ascii="Arial" w:hAnsi="Arial" w:cs="Arial"/>
          <w:sz w:val="24"/>
          <w:szCs w:val="24"/>
        </w:rPr>
        <w:t xml:space="preserve"> </w:t>
      </w:r>
      <w:r w:rsidR="00D50561">
        <w:rPr>
          <w:rFonts w:ascii="Arial" w:hAnsi="Arial" w:cs="Arial"/>
          <w:sz w:val="24"/>
          <w:szCs w:val="24"/>
        </w:rPr>
        <w:tab/>
      </w:r>
      <w:r w:rsidR="00D50561">
        <w:rPr>
          <w:rFonts w:ascii="Arial" w:hAnsi="Arial" w:cs="Arial"/>
          <w:sz w:val="24"/>
          <w:szCs w:val="24"/>
        </w:rPr>
        <w:tab/>
      </w:r>
      <w:r w:rsidR="00D50561">
        <w:rPr>
          <w:rFonts w:ascii="Arial" w:hAnsi="Arial" w:cs="Arial"/>
          <w:sz w:val="24"/>
          <w:szCs w:val="24"/>
        </w:rPr>
        <w:tab/>
        <w:t>module components and not four</w:t>
      </w:r>
      <w:r>
        <w:rPr>
          <w:rFonts w:ascii="Arial" w:hAnsi="Arial" w:cs="Arial"/>
          <w:sz w:val="24"/>
          <w:szCs w:val="24"/>
        </w:rPr>
        <w:t xml:space="preserve"> as was previously the case.</w:t>
      </w:r>
      <w:r w:rsidR="004D4208">
        <w:rPr>
          <w:rFonts w:ascii="Arial" w:hAnsi="Arial" w:cs="Arial"/>
          <w:sz w:val="24"/>
          <w:szCs w:val="24"/>
        </w:rPr>
        <w:t xml:space="preserve"> </w:t>
      </w:r>
      <w:r w:rsidR="00DB205F">
        <w:rPr>
          <w:rFonts w:ascii="Arial" w:hAnsi="Arial" w:cs="Arial"/>
          <w:sz w:val="24"/>
          <w:szCs w:val="24"/>
        </w:rPr>
        <w:t xml:space="preserve">It </w:t>
      </w:r>
      <w:r w:rsidR="00DB205F">
        <w:rPr>
          <w:rFonts w:ascii="Arial" w:hAnsi="Arial" w:cs="Arial"/>
          <w:sz w:val="24"/>
          <w:szCs w:val="24"/>
        </w:rPr>
        <w:tab/>
      </w:r>
      <w:r w:rsidR="00DB205F">
        <w:rPr>
          <w:rFonts w:ascii="Arial" w:hAnsi="Arial" w:cs="Arial"/>
          <w:sz w:val="24"/>
          <w:szCs w:val="24"/>
        </w:rPr>
        <w:tab/>
      </w:r>
      <w:r w:rsidR="00DB205F">
        <w:rPr>
          <w:rFonts w:ascii="Arial" w:hAnsi="Arial" w:cs="Arial"/>
          <w:sz w:val="24"/>
          <w:szCs w:val="24"/>
        </w:rPr>
        <w:tab/>
        <w:t>appears that t</w:t>
      </w:r>
      <w:r w:rsidR="00D50561">
        <w:rPr>
          <w:rFonts w:ascii="Arial" w:hAnsi="Arial" w:cs="Arial"/>
          <w:sz w:val="24"/>
          <w:szCs w:val="24"/>
        </w:rPr>
        <w:t xml:space="preserve">his trend has already begun for UG claims. </w:t>
      </w:r>
    </w:p>
    <w:p w:rsidR="00DB205F" w:rsidRDefault="00DB205F" w:rsidP="00E87F05">
      <w:pPr>
        <w:pStyle w:val="ListParagraph"/>
        <w:ind w:left="567" w:hanging="567"/>
        <w:rPr>
          <w:rFonts w:ascii="Arial" w:hAnsi="Arial" w:cs="Arial"/>
          <w:sz w:val="24"/>
          <w:szCs w:val="24"/>
        </w:rPr>
      </w:pPr>
    </w:p>
    <w:p w:rsidR="00F70E11" w:rsidRDefault="00996A29" w:rsidP="00E87F05">
      <w:pPr>
        <w:pStyle w:val="ListParagraph"/>
        <w:ind w:left="567" w:hanging="567"/>
        <w:rPr>
          <w:rFonts w:ascii="Arial" w:hAnsi="Arial" w:cs="Arial"/>
          <w:sz w:val="24"/>
          <w:szCs w:val="24"/>
        </w:rPr>
      </w:pPr>
      <w:r>
        <w:rPr>
          <w:rFonts w:ascii="Arial" w:hAnsi="Arial" w:cs="Arial"/>
          <w:sz w:val="24"/>
          <w:szCs w:val="24"/>
        </w:rPr>
        <w:tab/>
      </w:r>
      <w:r>
        <w:rPr>
          <w:rFonts w:ascii="Arial" w:hAnsi="Arial" w:cs="Arial"/>
          <w:sz w:val="24"/>
          <w:szCs w:val="24"/>
        </w:rPr>
        <w:tab/>
      </w:r>
      <w:r w:rsidR="00F70E11">
        <w:rPr>
          <w:rFonts w:ascii="Arial" w:hAnsi="Arial" w:cs="Arial"/>
          <w:sz w:val="24"/>
          <w:szCs w:val="24"/>
        </w:rPr>
        <w:t>7.5</w:t>
      </w:r>
      <w:r>
        <w:rPr>
          <w:rFonts w:ascii="Arial" w:hAnsi="Arial" w:cs="Arial"/>
          <w:sz w:val="24"/>
          <w:szCs w:val="24"/>
        </w:rPr>
        <w:tab/>
        <w:t xml:space="preserve">It should be noted that for 2015/16 there are still two sets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Regulations (UG &amp; PG PGT) governing the </w:t>
      </w:r>
      <w:r w:rsidR="004D4208">
        <w:rPr>
          <w:rFonts w:ascii="Arial" w:hAnsi="Arial" w:cs="Arial"/>
          <w:sz w:val="24"/>
          <w:szCs w:val="24"/>
        </w:rPr>
        <w:t>E</w:t>
      </w:r>
      <w:r>
        <w:rPr>
          <w:rFonts w:ascii="Arial" w:hAnsi="Arial" w:cs="Arial"/>
          <w:sz w:val="24"/>
          <w:szCs w:val="24"/>
        </w:rPr>
        <w:t xml:space="preserve">xtenuating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D4208">
        <w:rPr>
          <w:rFonts w:ascii="Arial" w:hAnsi="Arial" w:cs="Arial"/>
          <w:sz w:val="24"/>
          <w:szCs w:val="24"/>
        </w:rPr>
        <w:t>C</w:t>
      </w:r>
      <w:r>
        <w:rPr>
          <w:rFonts w:ascii="Arial" w:hAnsi="Arial" w:cs="Arial"/>
          <w:sz w:val="24"/>
          <w:szCs w:val="24"/>
        </w:rPr>
        <w:t>ircumstances procedures.</w:t>
      </w:r>
    </w:p>
    <w:p w:rsidR="00D50561" w:rsidRPr="00D50561" w:rsidRDefault="0002444E" w:rsidP="00E87F05">
      <w:pPr>
        <w:pStyle w:val="ListParagraph"/>
        <w:ind w:left="567" w:hanging="567"/>
        <w:rPr>
          <w:rFonts w:ascii="Arial" w:hAnsi="Arial" w:cs="Arial"/>
          <w:sz w:val="24"/>
          <w:szCs w:val="24"/>
        </w:rPr>
      </w:pPr>
      <w:r>
        <w:rPr>
          <w:rFonts w:ascii="Arial" w:hAnsi="Arial" w:cs="Arial"/>
          <w:sz w:val="24"/>
          <w:szCs w:val="24"/>
        </w:rPr>
        <w:br/>
      </w:r>
    </w:p>
    <w:p w:rsidR="009C2377" w:rsidRPr="00516630" w:rsidRDefault="009C2377" w:rsidP="00E87F05">
      <w:pPr>
        <w:pStyle w:val="ListParagraph"/>
        <w:ind w:left="567" w:hanging="567"/>
        <w:rPr>
          <w:rFonts w:ascii="Arial" w:hAnsi="Arial" w:cs="Arial"/>
          <w:sz w:val="24"/>
          <w:szCs w:val="24"/>
        </w:rPr>
      </w:pPr>
    </w:p>
    <w:sectPr w:rsidR="009C2377" w:rsidRPr="00516630" w:rsidSect="003C6B19">
      <w:headerReference w:type="even" r:id="rId13"/>
      <w:headerReference w:type="default" r:id="rId14"/>
      <w:footerReference w:type="default" r:id="rId15"/>
      <w:headerReference w:type="first" r:id="rId16"/>
      <w:pgSz w:w="11906" w:h="16838"/>
      <w:pgMar w:top="1247" w:right="1440" w:bottom="1247"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E4" w:rsidRDefault="005943E4" w:rsidP="00180B7E">
      <w:pPr>
        <w:spacing w:after="0" w:line="240" w:lineRule="auto"/>
      </w:pPr>
      <w:r>
        <w:separator/>
      </w:r>
    </w:p>
  </w:endnote>
  <w:endnote w:type="continuationSeparator" w:id="0">
    <w:p w:rsidR="005943E4" w:rsidRDefault="005943E4" w:rsidP="0018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21769"/>
      <w:docPartObj>
        <w:docPartGallery w:val="Page Numbers (Bottom of Page)"/>
        <w:docPartUnique/>
      </w:docPartObj>
    </w:sdtPr>
    <w:sdtContent>
      <w:sdt>
        <w:sdtPr>
          <w:id w:val="1728636285"/>
          <w:docPartObj>
            <w:docPartGallery w:val="Page Numbers (Top of Page)"/>
            <w:docPartUnique/>
          </w:docPartObj>
        </w:sdtPr>
        <w:sdtContent>
          <w:p w:rsidR="005943E4" w:rsidRDefault="005943E4" w:rsidP="00D95563">
            <w:pPr>
              <w:pStyle w:val="Footer"/>
            </w:pPr>
            <w:r w:rsidRPr="00D95563">
              <w:rPr>
                <w:rFonts w:ascii="Arial" w:hAnsi="Arial" w:cs="Arial"/>
              </w:rPr>
              <w:t>Ex</w:t>
            </w:r>
            <w:r>
              <w:rPr>
                <w:rFonts w:ascii="Arial" w:hAnsi="Arial" w:cs="Arial"/>
              </w:rPr>
              <w:t>tenuating Circumstances Annual R</w:t>
            </w:r>
            <w:r w:rsidRPr="00D95563">
              <w:rPr>
                <w:rFonts w:ascii="Arial" w:hAnsi="Arial" w:cs="Arial"/>
              </w:rPr>
              <w:t xml:space="preserve">eport </w:t>
            </w:r>
            <w:r>
              <w:rPr>
                <w:rFonts w:ascii="Arial" w:hAnsi="Arial" w:cs="Arial"/>
              </w:rPr>
              <w:t>2014-15</w:t>
            </w:r>
            <w:r>
              <w:tab/>
              <w:t xml:space="preserve"> </w:t>
            </w:r>
            <w:r w:rsidRPr="00D95563">
              <w:rPr>
                <w:rFonts w:ascii="Arial" w:hAnsi="Arial" w:cs="Arial"/>
              </w:rPr>
              <w:t xml:space="preserve">Page </w:t>
            </w:r>
            <w:r w:rsidRPr="00D95563">
              <w:rPr>
                <w:rFonts w:ascii="Arial" w:hAnsi="Arial" w:cs="Arial"/>
                <w:b/>
                <w:bCs/>
              </w:rPr>
              <w:fldChar w:fldCharType="begin"/>
            </w:r>
            <w:r w:rsidRPr="00D95563">
              <w:rPr>
                <w:rFonts w:ascii="Arial" w:hAnsi="Arial" w:cs="Arial"/>
                <w:b/>
                <w:bCs/>
              </w:rPr>
              <w:instrText xml:space="preserve"> PAGE </w:instrText>
            </w:r>
            <w:r w:rsidRPr="00D95563">
              <w:rPr>
                <w:rFonts w:ascii="Arial" w:hAnsi="Arial" w:cs="Arial"/>
                <w:b/>
                <w:bCs/>
              </w:rPr>
              <w:fldChar w:fldCharType="separate"/>
            </w:r>
            <w:r w:rsidR="007601BA">
              <w:rPr>
                <w:rFonts w:ascii="Arial" w:hAnsi="Arial" w:cs="Arial"/>
                <w:b/>
                <w:bCs/>
                <w:noProof/>
              </w:rPr>
              <w:t>10</w:t>
            </w:r>
            <w:r w:rsidRPr="00D95563">
              <w:rPr>
                <w:rFonts w:ascii="Arial" w:hAnsi="Arial" w:cs="Arial"/>
                <w:b/>
                <w:bCs/>
              </w:rPr>
              <w:fldChar w:fldCharType="end"/>
            </w:r>
            <w:r w:rsidRPr="00D95563">
              <w:rPr>
                <w:rFonts w:ascii="Arial" w:hAnsi="Arial" w:cs="Arial"/>
              </w:rPr>
              <w:t xml:space="preserve"> of </w:t>
            </w:r>
            <w:r w:rsidRPr="00D95563">
              <w:rPr>
                <w:rFonts w:ascii="Arial" w:hAnsi="Arial" w:cs="Arial"/>
                <w:b/>
                <w:bCs/>
              </w:rPr>
              <w:fldChar w:fldCharType="begin"/>
            </w:r>
            <w:r w:rsidRPr="00D95563">
              <w:rPr>
                <w:rFonts w:ascii="Arial" w:hAnsi="Arial" w:cs="Arial"/>
                <w:b/>
                <w:bCs/>
              </w:rPr>
              <w:instrText xml:space="preserve"> NUMPAGES  </w:instrText>
            </w:r>
            <w:r w:rsidRPr="00D95563">
              <w:rPr>
                <w:rFonts w:ascii="Arial" w:hAnsi="Arial" w:cs="Arial"/>
                <w:b/>
                <w:bCs/>
              </w:rPr>
              <w:fldChar w:fldCharType="separate"/>
            </w:r>
            <w:r w:rsidR="007601BA">
              <w:rPr>
                <w:rFonts w:ascii="Arial" w:hAnsi="Arial" w:cs="Arial"/>
                <w:b/>
                <w:bCs/>
                <w:noProof/>
              </w:rPr>
              <w:t>10</w:t>
            </w:r>
            <w:r w:rsidRPr="00D95563">
              <w:rPr>
                <w:rFonts w:ascii="Arial" w:hAnsi="Arial" w:cs="Arial"/>
                <w:b/>
                <w:bCs/>
              </w:rPr>
              <w:fldChar w:fldCharType="end"/>
            </w:r>
          </w:p>
        </w:sdtContent>
      </w:sdt>
    </w:sdtContent>
  </w:sdt>
  <w:p w:rsidR="005943E4" w:rsidRDefault="0059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E4" w:rsidRDefault="005943E4" w:rsidP="00180B7E">
      <w:pPr>
        <w:spacing w:after="0" w:line="240" w:lineRule="auto"/>
      </w:pPr>
      <w:r>
        <w:separator/>
      </w:r>
    </w:p>
  </w:footnote>
  <w:footnote w:type="continuationSeparator" w:id="0">
    <w:p w:rsidR="005943E4" w:rsidRDefault="005943E4" w:rsidP="00180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E4" w:rsidRDefault="00594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E4" w:rsidRDefault="00594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E4" w:rsidRDefault="00594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545"/>
    <w:multiLevelType w:val="hybridMultilevel"/>
    <w:tmpl w:val="9BDE0DA0"/>
    <w:lvl w:ilvl="0" w:tplc="E490E876">
      <w:start w:val="1"/>
      <w:numFmt w:val="lowerRoman"/>
      <w:lvlText w:val="%1)"/>
      <w:lvlJc w:val="left"/>
      <w:pPr>
        <w:ind w:left="2010" w:hanging="72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 w15:restartNumberingAfterBreak="0">
    <w:nsid w:val="1629647B"/>
    <w:multiLevelType w:val="hybridMultilevel"/>
    <w:tmpl w:val="2C981C88"/>
    <w:lvl w:ilvl="0" w:tplc="F3BAC93A">
      <w:start w:val="5"/>
      <w:numFmt w:val="bullet"/>
      <w:lvlText w:val=""/>
      <w:lvlJc w:val="left"/>
      <w:pPr>
        <w:ind w:left="1069" w:hanging="360"/>
      </w:pPr>
      <w:rPr>
        <w:rFonts w:ascii="Symbol" w:eastAsiaTheme="minorHAnsi"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8B62659"/>
    <w:multiLevelType w:val="multilevel"/>
    <w:tmpl w:val="C4882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6E48BA"/>
    <w:multiLevelType w:val="hybridMultilevel"/>
    <w:tmpl w:val="57CA7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63683"/>
    <w:multiLevelType w:val="hybridMultilevel"/>
    <w:tmpl w:val="E928523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62D427D6"/>
    <w:multiLevelType w:val="multilevel"/>
    <w:tmpl w:val="D24E846A"/>
    <w:lvl w:ilvl="0">
      <w:start w:val="1"/>
      <w:numFmt w:val="decimal"/>
      <w:lvlText w:val="%1"/>
      <w:lvlJc w:val="left"/>
      <w:pPr>
        <w:ind w:left="360" w:hanging="360"/>
      </w:pPr>
      <w:rPr>
        <w:rFonts w:hint="default"/>
        <w:sz w:val="22"/>
      </w:rPr>
    </w:lvl>
    <w:lvl w:ilvl="1">
      <w:start w:val="1"/>
      <w:numFmt w:val="decimal"/>
      <w:lvlText w:val="%1.%2"/>
      <w:lvlJc w:val="left"/>
      <w:pPr>
        <w:ind w:left="1211"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D6"/>
    <w:rsid w:val="00004115"/>
    <w:rsid w:val="00011A8B"/>
    <w:rsid w:val="00022517"/>
    <w:rsid w:val="00024372"/>
    <w:rsid w:val="0002444E"/>
    <w:rsid w:val="00027627"/>
    <w:rsid w:val="0005126E"/>
    <w:rsid w:val="0006189B"/>
    <w:rsid w:val="00063F6B"/>
    <w:rsid w:val="00066204"/>
    <w:rsid w:val="000708EC"/>
    <w:rsid w:val="00076417"/>
    <w:rsid w:val="00092B2D"/>
    <w:rsid w:val="000A02A9"/>
    <w:rsid w:val="000E2CC7"/>
    <w:rsid w:val="000F2A40"/>
    <w:rsid w:val="00115B5D"/>
    <w:rsid w:val="001226FD"/>
    <w:rsid w:val="00124E3F"/>
    <w:rsid w:val="00140B96"/>
    <w:rsid w:val="001449B6"/>
    <w:rsid w:val="001465B3"/>
    <w:rsid w:val="00151A8B"/>
    <w:rsid w:val="00157068"/>
    <w:rsid w:val="00172043"/>
    <w:rsid w:val="00180B7E"/>
    <w:rsid w:val="001925ED"/>
    <w:rsid w:val="001A65E8"/>
    <w:rsid w:val="001A6957"/>
    <w:rsid w:val="001C30D9"/>
    <w:rsid w:val="001C4732"/>
    <w:rsid w:val="001D5F36"/>
    <w:rsid w:val="001E7226"/>
    <w:rsid w:val="00200024"/>
    <w:rsid w:val="00211D1B"/>
    <w:rsid w:val="00212F87"/>
    <w:rsid w:val="00214C0E"/>
    <w:rsid w:val="00216B06"/>
    <w:rsid w:val="00222339"/>
    <w:rsid w:val="00223304"/>
    <w:rsid w:val="00241EF2"/>
    <w:rsid w:val="00263184"/>
    <w:rsid w:val="00265C00"/>
    <w:rsid w:val="00266691"/>
    <w:rsid w:val="002831FB"/>
    <w:rsid w:val="002B0DB5"/>
    <w:rsid w:val="002E3C1B"/>
    <w:rsid w:val="002E6E13"/>
    <w:rsid w:val="002E756A"/>
    <w:rsid w:val="00300077"/>
    <w:rsid w:val="00311DD2"/>
    <w:rsid w:val="00316521"/>
    <w:rsid w:val="00323724"/>
    <w:rsid w:val="00332A34"/>
    <w:rsid w:val="003516FD"/>
    <w:rsid w:val="00355983"/>
    <w:rsid w:val="00372622"/>
    <w:rsid w:val="003A43D9"/>
    <w:rsid w:val="003B5339"/>
    <w:rsid w:val="003B5D6C"/>
    <w:rsid w:val="003C4041"/>
    <w:rsid w:val="003C6B19"/>
    <w:rsid w:val="003D0FB0"/>
    <w:rsid w:val="003F346B"/>
    <w:rsid w:val="00413BAC"/>
    <w:rsid w:val="004165D2"/>
    <w:rsid w:val="004357FD"/>
    <w:rsid w:val="00470525"/>
    <w:rsid w:val="00483B46"/>
    <w:rsid w:val="00491D04"/>
    <w:rsid w:val="004C21C6"/>
    <w:rsid w:val="004C387A"/>
    <w:rsid w:val="004D4208"/>
    <w:rsid w:val="004D6FF7"/>
    <w:rsid w:val="004E0937"/>
    <w:rsid w:val="004E4904"/>
    <w:rsid w:val="004F68AF"/>
    <w:rsid w:val="004F7C0F"/>
    <w:rsid w:val="005051E4"/>
    <w:rsid w:val="005108E4"/>
    <w:rsid w:val="005112D6"/>
    <w:rsid w:val="00516630"/>
    <w:rsid w:val="00517D90"/>
    <w:rsid w:val="00523180"/>
    <w:rsid w:val="00524C28"/>
    <w:rsid w:val="00533147"/>
    <w:rsid w:val="005718E2"/>
    <w:rsid w:val="005866F9"/>
    <w:rsid w:val="005943E4"/>
    <w:rsid w:val="005A41DA"/>
    <w:rsid w:val="005A51C6"/>
    <w:rsid w:val="005C6360"/>
    <w:rsid w:val="005F6888"/>
    <w:rsid w:val="005F7F6C"/>
    <w:rsid w:val="006059AD"/>
    <w:rsid w:val="00612903"/>
    <w:rsid w:val="00626584"/>
    <w:rsid w:val="00626AB5"/>
    <w:rsid w:val="00635B9C"/>
    <w:rsid w:val="00644F8E"/>
    <w:rsid w:val="00646C5F"/>
    <w:rsid w:val="00660CD3"/>
    <w:rsid w:val="0066496D"/>
    <w:rsid w:val="006739F1"/>
    <w:rsid w:val="0068427C"/>
    <w:rsid w:val="0068511C"/>
    <w:rsid w:val="006A405C"/>
    <w:rsid w:val="006C3820"/>
    <w:rsid w:val="006C384A"/>
    <w:rsid w:val="006C5ACC"/>
    <w:rsid w:val="006D2F98"/>
    <w:rsid w:val="006D5881"/>
    <w:rsid w:val="006D5EDF"/>
    <w:rsid w:val="006E1118"/>
    <w:rsid w:val="007026C5"/>
    <w:rsid w:val="0071456C"/>
    <w:rsid w:val="007173D1"/>
    <w:rsid w:val="007237C1"/>
    <w:rsid w:val="00747F3B"/>
    <w:rsid w:val="0075010E"/>
    <w:rsid w:val="007601BA"/>
    <w:rsid w:val="00762F2F"/>
    <w:rsid w:val="007A188C"/>
    <w:rsid w:val="007A3BAA"/>
    <w:rsid w:val="007A6820"/>
    <w:rsid w:val="007B1E0C"/>
    <w:rsid w:val="007C108F"/>
    <w:rsid w:val="007C1598"/>
    <w:rsid w:val="007C26BD"/>
    <w:rsid w:val="007C40D9"/>
    <w:rsid w:val="007D3D15"/>
    <w:rsid w:val="007D5D17"/>
    <w:rsid w:val="007E51AB"/>
    <w:rsid w:val="007E5BDB"/>
    <w:rsid w:val="00805125"/>
    <w:rsid w:val="0081011D"/>
    <w:rsid w:val="00832047"/>
    <w:rsid w:val="0083720D"/>
    <w:rsid w:val="00842067"/>
    <w:rsid w:val="00853DEB"/>
    <w:rsid w:val="0086517E"/>
    <w:rsid w:val="00865C06"/>
    <w:rsid w:val="00883405"/>
    <w:rsid w:val="008C1E7A"/>
    <w:rsid w:val="008D7CFC"/>
    <w:rsid w:val="008E4669"/>
    <w:rsid w:val="008E48A4"/>
    <w:rsid w:val="008E49E4"/>
    <w:rsid w:val="008F6183"/>
    <w:rsid w:val="009031C9"/>
    <w:rsid w:val="00912844"/>
    <w:rsid w:val="00914651"/>
    <w:rsid w:val="00917DB3"/>
    <w:rsid w:val="009326A0"/>
    <w:rsid w:val="0094084A"/>
    <w:rsid w:val="0095209A"/>
    <w:rsid w:val="00956655"/>
    <w:rsid w:val="00974595"/>
    <w:rsid w:val="0097570C"/>
    <w:rsid w:val="009774EA"/>
    <w:rsid w:val="009870BC"/>
    <w:rsid w:val="00993938"/>
    <w:rsid w:val="00993A6B"/>
    <w:rsid w:val="00996A29"/>
    <w:rsid w:val="00997C66"/>
    <w:rsid w:val="009C2377"/>
    <w:rsid w:val="009D7E13"/>
    <w:rsid w:val="009F2DC0"/>
    <w:rsid w:val="00A216FF"/>
    <w:rsid w:val="00A23975"/>
    <w:rsid w:val="00A47274"/>
    <w:rsid w:val="00A6564A"/>
    <w:rsid w:val="00A66E58"/>
    <w:rsid w:val="00A74F11"/>
    <w:rsid w:val="00A86C01"/>
    <w:rsid w:val="00AA6BAA"/>
    <w:rsid w:val="00AB30DC"/>
    <w:rsid w:val="00AC3ED8"/>
    <w:rsid w:val="00AC7E4C"/>
    <w:rsid w:val="00AD0AA1"/>
    <w:rsid w:val="00AD7F56"/>
    <w:rsid w:val="00AE5DDE"/>
    <w:rsid w:val="00AF24FD"/>
    <w:rsid w:val="00AF3757"/>
    <w:rsid w:val="00B3238B"/>
    <w:rsid w:val="00B40503"/>
    <w:rsid w:val="00B44F8C"/>
    <w:rsid w:val="00B54392"/>
    <w:rsid w:val="00B77017"/>
    <w:rsid w:val="00B8273B"/>
    <w:rsid w:val="00BA12F2"/>
    <w:rsid w:val="00BC328F"/>
    <w:rsid w:val="00BD0773"/>
    <w:rsid w:val="00BD4FAF"/>
    <w:rsid w:val="00BD7A14"/>
    <w:rsid w:val="00BE2961"/>
    <w:rsid w:val="00C146EE"/>
    <w:rsid w:val="00C31D90"/>
    <w:rsid w:val="00C568AB"/>
    <w:rsid w:val="00C67055"/>
    <w:rsid w:val="00C75E1F"/>
    <w:rsid w:val="00C81BEF"/>
    <w:rsid w:val="00C862BD"/>
    <w:rsid w:val="00CA76EC"/>
    <w:rsid w:val="00CB5BCE"/>
    <w:rsid w:val="00CC454F"/>
    <w:rsid w:val="00CD2F5E"/>
    <w:rsid w:val="00CD516E"/>
    <w:rsid w:val="00CE1479"/>
    <w:rsid w:val="00CE2E9C"/>
    <w:rsid w:val="00D0373A"/>
    <w:rsid w:val="00D24C67"/>
    <w:rsid w:val="00D32829"/>
    <w:rsid w:val="00D4164A"/>
    <w:rsid w:val="00D50561"/>
    <w:rsid w:val="00D646BA"/>
    <w:rsid w:val="00D67DDF"/>
    <w:rsid w:val="00D81ECA"/>
    <w:rsid w:val="00D90457"/>
    <w:rsid w:val="00D9447C"/>
    <w:rsid w:val="00D95563"/>
    <w:rsid w:val="00D96B64"/>
    <w:rsid w:val="00DA568D"/>
    <w:rsid w:val="00DB205F"/>
    <w:rsid w:val="00DC38A9"/>
    <w:rsid w:val="00DD20BF"/>
    <w:rsid w:val="00DD3363"/>
    <w:rsid w:val="00DD6B05"/>
    <w:rsid w:val="00E0295D"/>
    <w:rsid w:val="00E12766"/>
    <w:rsid w:val="00E16C6C"/>
    <w:rsid w:val="00E203A1"/>
    <w:rsid w:val="00E20799"/>
    <w:rsid w:val="00E305B8"/>
    <w:rsid w:val="00E32F9A"/>
    <w:rsid w:val="00E37AC1"/>
    <w:rsid w:val="00E50521"/>
    <w:rsid w:val="00E60094"/>
    <w:rsid w:val="00E64281"/>
    <w:rsid w:val="00E75C1E"/>
    <w:rsid w:val="00E87F05"/>
    <w:rsid w:val="00E92838"/>
    <w:rsid w:val="00EA3B72"/>
    <w:rsid w:val="00EA5E0E"/>
    <w:rsid w:val="00EB2FC2"/>
    <w:rsid w:val="00ED66BF"/>
    <w:rsid w:val="00EF1553"/>
    <w:rsid w:val="00EF70CF"/>
    <w:rsid w:val="00F07D8C"/>
    <w:rsid w:val="00F3164E"/>
    <w:rsid w:val="00F35DF7"/>
    <w:rsid w:val="00F5754C"/>
    <w:rsid w:val="00F707DC"/>
    <w:rsid w:val="00F70E11"/>
    <w:rsid w:val="00F712CE"/>
    <w:rsid w:val="00F91408"/>
    <w:rsid w:val="00FB4577"/>
    <w:rsid w:val="00FC3E0A"/>
    <w:rsid w:val="00FD6C98"/>
    <w:rsid w:val="00FE0DFB"/>
    <w:rsid w:val="00FF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20DE46E-5D21-4396-8DE7-BBA4BF5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D6"/>
    <w:pPr>
      <w:ind w:left="720"/>
      <w:contextualSpacing/>
    </w:pPr>
  </w:style>
  <w:style w:type="paragraph" w:styleId="BalloonText">
    <w:name w:val="Balloon Text"/>
    <w:basedOn w:val="Normal"/>
    <w:link w:val="BalloonTextChar"/>
    <w:uiPriority w:val="99"/>
    <w:semiHidden/>
    <w:unhideWhenUsed/>
    <w:rsid w:val="00FF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11"/>
    <w:rPr>
      <w:rFonts w:ascii="Tahoma" w:hAnsi="Tahoma" w:cs="Tahoma"/>
      <w:sz w:val="16"/>
      <w:szCs w:val="16"/>
    </w:rPr>
  </w:style>
  <w:style w:type="character" w:styleId="Hyperlink">
    <w:name w:val="Hyperlink"/>
    <w:basedOn w:val="DefaultParagraphFont"/>
    <w:uiPriority w:val="99"/>
    <w:unhideWhenUsed/>
    <w:rsid w:val="00A47274"/>
    <w:rPr>
      <w:color w:val="0000FF" w:themeColor="hyperlink"/>
      <w:u w:val="single"/>
    </w:rPr>
  </w:style>
  <w:style w:type="paragraph" w:styleId="Header">
    <w:name w:val="header"/>
    <w:basedOn w:val="Normal"/>
    <w:link w:val="HeaderChar"/>
    <w:uiPriority w:val="99"/>
    <w:unhideWhenUsed/>
    <w:rsid w:val="0018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7E"/>
  </w:style>
  <w:style w:type="paragraph" w:styleId="Footer">
    <w:name w:val="footer"/>
    <w:basedOn w:val="Normal"/>
    <w:link w:val="FooterChar"/>
    <w:uiPriority w:val="99"/>
    <w:unhideWhenUsed/>
    <w:rsid w:val="0018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7E"/>
  </w:style>
  <w:style w:type="paragraph" w:styleId="NormalWeb">
    <w:name w:val="Normal (Web)"/>
    <w:basedOn w:val="Normal"/>
    <w:uiPriority w:val="99"/>
    <w:semiHidden/>
    <w:unhideWhenUsed/>
    <w:rsid w:val="005051E4"/>
    <w:pPr>
      <w:spacing w:before="100" w:beforeAutospacing="1" w:after="100" w:afterAutospacing="1" w:line="240" w:lineRule="auto"/>
    </w:pPr>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516630"/>
    <w:pPr>
      <w:spacing w:after="0" w:line="240" w:lineRule="auto"/>
      <w:ind w:left="-540"/>
      <w:jc w:val="both"/>
    </w:pPr>
    <w:rPr>
      <w:rFonts w:ascii="Lucida Sans" w:eastAsia="Times New Roman" w:hAnsi="Lucida Sans" w:cs="Times New Roman"/>
      <w:lang w:eastAsia="en-GB"/>
    </w:rPr>
  </w:style>
  <w:style w:type="character" w:customStyle="1" w:styleId="BodyTextIndentChar">
    <w:name w:val="Body Text Indent Char"/>
    <w:basedOn w:val="DefaultParagraphFont"/>
    <w:link w:val="BodyTextIndent"/>
    <w:uiPriority w:val="99"/>
    <w:semiHidden/>
    <w:rsid w:val="00516630"/>
    <w:rPr>
      <w:rFonts w:ascii="Lucida Sans" w:eastAsia="Times New Roman" w:hAnsi="Lucida San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612">
      <w:bodyDiv w:val="1"/>
      <w:marLeft w:val="0"/>
      <w:marRight w:val="0"/>
      <w:marTop w:val="0"/>
      <w:marBottom w:val="0"/>
      <w:divBdr>
        <w:top w:val="none" w:sz="0" w:space="0" w:color="auto"/>
        <w:left w:val="none" w:sz="0" w:space="0" w:color="auto"/>
        <w:bottom w:val="none" w:sz="0" w:space="0" w:color="auto"/>
        <w:right w:val="none" w:sz="0" w:space="0" w:color="auto"/>
      </w:divBdr>
    </w:div>
    <w:div w:id="69885982">
      <w:bodyDiv w:val="1"/>
      <w:marLeft w:val="0"/>
      <w:marRight w:val="0"/>
      <w:marTop w:val="0"/>
      <w:marBottom w:val="0"/>
      <w:divBdr>
        <w:top w:val="none" w:sz="0" w:space="0" w:color="auto"/>
        <w:left w:val="none" w:sz="0" w:space="0" w:color="auto"/>
        <w:bottom w:val="none" w:sz="0" w:space="0" w:color="auto"/>
        <w:right w:val="none" w:sz="0" w:space="0" w:color="auto"/>
      </w:divBdr>
    </w:div>
    <w:div w:id="90200619">
      <w:bodyDiv w:val="1"/>
      <w:marLeft w:val="0"/>
      <w:marRight w:val="0"/>
      <w:marTop w:val="0"/>
      <w:marBottom w:val="0"/>
      <w:divBdr>
        <w:top w:val="none" w:sz="0" w:space="0" w:color="auto"/>
        <w:left w:val="none" w:sz="0" w:space="0" w:color="auto"/>
        <w:bottom w:val="none" w:sz="0" w:space="0" w:color="auto"/>
        <w:right w:val="none" w:sz="0" w:space="0" w:color="auto"/>
      </w:divBdr>
    </w:div>
    <w:div w:id="175927305">
      <w:bodyDiv w:val="1"/>
      <w:marLeft w:val="0"/>
      <w:marRight w:val="0"/>
      <w:marTop w:val="0"/>
      <w:marBottom w:val="0"/>
      <w:divBdr>
        <w:top w:val="none" w:sz="0" w:space="0" w:color="auto"/>
        <w:left w:val="none" w:sz="0" w:space="0" w:color="auto"/>
        <w:bottom w:val="none" w:sz="0" w:space="0" w:color="auto"/>
        <w:right w:val="none" w:sz="0" w:space="0" w:color="auto"/>
      </w:divBdr>
    </w:div>
    <w:div w:id="265504350">
      <w:bodyDiv w:val="1"/>
      <w:marLeft w:val="0"/>
      <w:marRight w:val="0"/>
      <w:marTop w:val="0"/>
      <w:marBottom w:val="0"/>
      <w:divBdr>
        <w:top w:val="none" w:sz="0" w:space="0" w:color="auto"/>
        <w:left w:val="none" w:sz="0" w:space="0" w:color="auto"/>
        <w:bottom w:val="none" w:sz="0" w:space="0" w:color="auto"/>
        <w:right w:val="none" w:sz="0" w:space="0" w:color="auto"/>
      </w:divBdr>
    </w:div>
    <w:div w:id="283771919">
      <w:bodyDiv w:val="1"/>
      <w:marLeft w:val="0"/>
      <w:marRight w:val="0"/>
      <w:marTop w:val="0"/>
      <w:marBottom w:val="0"/>
      <w:divBdr>
        <w:top w:val="none" w:sz="0" w:space="0" w:color="auto"/>
        <w:left w:val="none" w:sz="0" w:space="0" w:color="auto"/>
        <w:bottom w:val="none" w:sz="0" w:space="0" w:color="auto"/>
        <w:right w:val="none" w:sz="0" w:space="0" w:color="auto"/>
      </w:divBdr>
    </w:div>
    <w:div w:id="409809168">
      <w:bodyDiv w:val="1"/>
      <w:marLeft w:val="0"/>
      <w:marRight w:val="0"/>
      <w:marTop w:val="0"/>
      <w:marBottom w:val="0"/>
      <w:divBdr>
        <w:top w:val="none" w:sz="0" w:space="0" w:color="auto"/>
        <w:left w:val="none" w:sz="0" w:space="0" w:color="auto"/>
        <w:bottom w:val="none" w:sz="0" w:space="0" w:color="auto"/>
        <w:right w:val="none" w:sz="0" w:space="0" w:color="auto"/>
      </w:divBdr>
    </w:div>
    <w:div w:id="411393346">
      <w:bodyDiv w:val="1"/>
      <w:marLeft w:val="0"/>
      <w:marRight w:val="0"/>
      <w:marTop w:val="0"/>
      <w:marBottom w:val="0"/>
      <w:divBdr>
        <w:top w:val="none" w:sz="0" w:space="0" w:color="auto"/>
        <w:left w:val="none" w:sz="0" w:space="0" w:color="auto"/>
        <w:bottom w:val="none" w:sz="0" w:space="0" w:color="auto"/>
        <w:right w:val="none" w:sz="0" w:space="0" w:color="auto"/>
      </w:divBdr>
    </w:div>
    <w:div w:id="430469277">
      <w:bodyDiv w:val="1"/>
      <w:marLeft w:val="0"/>
      <w:marRight w:val="0"/>
      <w:marTop w:val="0"/>
      <w:marBottom w:val="0"/>
      <w:divBdr>
        <w:top w:val="none" w:sz="0" w:space="0" w:color="auto"/>
        <w:left w:val="none" w:sz="0" w:space="0" w:color="auto"/>
        <w:bottom w:val="none" w:sz="0" w:space="0" w:color="auto"/>
        <w:right w:val="none" w:sz="0" w:space="0" w:color="auto"/>
      </w:divBdr>
    </w:div>
    <w:div w:id="508759168">
      <w:bodyDiv w:val="1"/>
      <w:marLeft w:val="0"/>
      <w:marRight w:val="0"/>
      <w:marTop w:val="0"/>
      <w:marBottom w:val="0"/>
      <w:divBdr>
        <w:top w:val="none" w:sz="0" w:space="0" w:color="auto"/>
        <w:left w:val="none" w:sz="0" w:space="0" w:color="auto"/>
        <w:bottom w:val="none" w:sz="0" w:space="0" w:color="auto"/>
        <w:right w:val="none" w:sz="0" w:space="0" w:color="auto"/>
      </w:divBdr>
    </w:div>
    <w:div w:id="509222355">
      <w:bodyDiv w:val="1"/>
      <w:marLeft w:val="0"/>
      <w:marRight w:val="0"/>
      <w:marTop w:val="0"/>
      <w:marBottom w:val="0"/>
      <w:divBdr>
        <w:top w:val="none" w:sz="0" w:space="0" w:color="auto"/>
        <w:left w:val="none" w:sz="0" w:space="0" w:color="auto"/>
        <w:bottom w:val="none" w:sz="0" w:space="0" w:color="auto"/>
        <w:right w:val="none" w:sz="0" w:space="0" w:color="auto"/>
      </w:divBdr>
    </w:div>
    <w:div w:id="517542023">
      <w:bodyDiv w:val="1"/>
      <w:marLeft w:val="0"/>
      <w:marRight w:val="0"/>
      <w:marTop w:val="0"/>
      <w:marBottom w:val="0"/>
      <w:divBdr>
        <w:top w:val="none" w:sz="0" w:space="0" w:color="auto"/>
        <w:left w:val="none" w:sz="0" w:space="0" w:color="auto"/>
        <w:bottom w:val="none" w:sz="0" w:space="0" w:color="auto"/>
        <w:right w:val="none" w:sz="0" w:space="0" w:color="auto"/>
      </w:divBdr>
    </w:div>
    <w:div w:id="521016430">
      <w:bodyDiv w:val="1"/>
      <w:marLeft w:val="0"/>
      <w:marRight w:val="0"/>
      <w:marTop w:val="0"/>
      <w:marBottom w:val="0"/>
      <w:divBdr>
        <w:top w:val="none" w:sz="0" w:space="0" w:color="auto"/>
        <w:left w:val="none" w:sz="0" w:space="0" w:color="auto"/>
        <w:bottom w:val="none" w:sz="0" w:space="0" w:color="auto"/>
        <w:right w:val="none" w:sz="0" w:space="0" w:color="auto"/>
      </w:divBdr>
    </w:div>
    <w:div w:id="532573502">
      <w:bodyDiv w:val="1"/>
      <w:marLeft w:val="0"/>
      <w:marRight w:val="0"/>
      <w:marTop w:val="0"/>
      <w:marBottom w:val="0"/>
      <w:divBdr>
        <w:top w:val="none" w:sz="0" w:space="0" w:color="auto"/>
        <w:left w:val="none" w:sz="0" w:space="0" w:color="auto"/>
        <w:bottom w:val="none" w:sz="0" w:space="0" w:color="auto"/>
        <w:right w:val="none" w:sz="0" w:space="0" w:color="auto"/>
      </w:divBdr>
    </w:div>
    <w:div w:id="540097648">
      <w:bodyDiv w:val="1"/>
      <w:marLeft w:val="0"/>
      <w:marRight w:val="0"/>
      <w:marTop w:val="0"/>
      <w:marBottom w:val="0"/>
      <w:divBdr>
        <w:top w:val="none" w:sz="0" w:space="0" w:color="auto"/>
        <w:left w:val="none" w:sz="0" w:space="0" w:color="auto"/>
        <w:bottom w:val="none" w:sz="0" w:space="0" w:color="auto"/>
        <w:right w:val="none" w:sz="0" w:space="0" w:color="auto"/>
      </w:divBdr>
    </w:div>
    <w:div w:id="609048142">
      <w:bodyDiv w:val="1"/>
      <w:marLeft w:val="0"/>
      <w:marRight w:val="0"/>
      <w:marTop w:val="0"/>
      <w:marBottom w:val="0"/>
      <w:divBdr>
        <w:top w:val="none" w:sz="0" w:space="0" w:color="auto"/>
        <w:left w:val="none" w:sz="0" w:space="0" w:color="auto"/>
        <w:bottom w:val="none" w:sz="0" w:space="0" w:color="auto"/>
        <w:right w:val="none" w:sz="0" w:space="0" w:color="auto"/>
      </w:divBdr>
    </w:div>
    <w:div w:id="736055800">
      <w:bodyDiv w:val="1"/>
      <w:marLeft w:val="0"/>
      <w:marRight w:val="0"/>
      <w:marTop w:val="0"/>
      <w:marBottom w:val="0"/>
      <w:divBdr>
        <w:top w:val="none" w:sz="0" w:space="0" w:color="auto"/>
        <w:left w:val="none" w:sz="0" w:space="0" w:color="auto"/>
        <w:bottom w:val="none" w:sz="0" w:space="0" w:color="auto"/>
        <w:right w:val="none" w:sz="0" w:space="0" w:color="auto"/>
      </w:divBdr>
    </w:div>
    <w:div w:id="758793164">
      <w:bodyDiv w:val="1"/>
      <w:marLeft w:val="0"/>
      <w:marRight w:val="0"/>
      <w:marTop w:val="0"/>
      <w:marBottom w:val="0"/>
      <w:divBdr>
        <w:top w:val="none" w:sz="0" w:space="0" w:color="auto"/>
        <w:left w:val="none" w:sz="0" w:space="0" w:color="auto"/>
        <w:bottom w:val="none" w:sz="0" w:space="0" w:color="auto"/>
        <w:right w:val="none" w:sz="0" w:space="0" w:color="auto"/>
      </w:divBdr>
    </w:div>
    <w:div w:id="793402319">
      <w:bodyDiv w:val="1"/>
      <w:marLeft w:val="0"/>
      <w:marRight w:val="0"/>
      <w:marTop w:val="0"/>
      <w:marBottom w:val="0"/>
      <w:divBdr>
        <w:top w:val="none" w:sz="0" w:space="0" w:color="auto"/>
        <w:left w:val="none" w:sz="0" w:space="0" w:color="auto"/>
        <w:bottom w:val="none" w:sz="0" w:space="0" w:color="auto"/>
        <w:right w:val="none" w:sz="0" w:space="0" w:color="auto"/>
      </w:divBdr>
    </w:div>
    <w:div w:id="806748711">
      <w:bodyDiv w:val="1"/>
      <w:marLeft w:val="0"/>
      <w:marRight w:val="0"/>
      <w:marTop w:val="0"/>
      <w:marBottom w:val="0"/>
      <w:divBdr>
        <w:top w:val="none" w:sz="0" w:space="0" w:color="auto"/>
        <w:left w:val="none" w:sz="0" w:space="0" w:color="auto"/>
        <w:bottom w:val="none" w:sz="0" w:space="0" w:color="auto"/>
        <w:right w:val="none" w:sz="0" w:space="0" w:color="auto"/>
      </w:divBdr>
    </w:div>
    <w:div w:id="882864919">
      <w:bodyDiv w:val="1"/>
      <w:marLeft w:val="0"/>
      <w:marRight w:val="0"/>
      <w:marTop w:val="0"/>
      <w:marBottom w:val="0"/>
      <w:divBdr>
        <w:top w:val="none" w:sz="0" w:space="0" w:color="auto"/>
        <w:left w:val="none" w:sz="0" w:space="0" w:color="auto"/>
        <w:bottom w:val="none" w:sz="0" w:space="0" w:color="auto"/>
        <w:right w:val="none" w:sz="0" w:space="0" w:color="auto"/>
      </w:divBdr>
    </w:div>
    <w:div w:id="883099560">
      <w:bodyDiv w:val="1"/>
      <w:marLeft w:val="0"/>
      <w:marRight w:val="0"/>
      <w:marTop w:val="0"/>
      <w:marBottom w:val="0"/>
      <w:divBdr>
        <w:top w:val="none" w:sz="0" w:space="0" w:color="auto"/>
        <w:left w:val="none" w:sz="0" w:space="0" w:color="auto"/>
        <w:bottom w:val="none" w:sz="0" w:space="0" w:color="auto"/>
        <w:right w:val="none" w:sz="0" w:space="0" w:color="auto"/>
      </w:divBdr>
    </w:div>
    <w:div w:id="945694892">
      <w:bodyDiv w:val="1"/>
      <w:marLeft w:val="0"/>
      <w:marRight w:val="0"/>
      <w:marTop w:val="0"/>
      <w:marBottom w:val="0"/>
      <w:divBdr>
        <w:top w:val="none" w:sz="0" w:space="0" w:color="auto"/>
        <w:left w:val="none" w:sz="0" w:space="0" w:color="auto"/>
        <w:bottom w:val="none" w:sz="0" w:space="0" w:color="auto"/>
        <w:right w:val="none" w:sz="0" w:space="0" w:color="auto"/>
      </w:divBdr>
    </w:div>
    <w:div w:id="951673506">
      <w:bodyDiv w:val="1"/>
      <w:marLeft w:val="0"/>
      <w:marRight w:val="0"/>
      <w:marTop w:val="0"/>
      <w:marBottom w:val="0"/>
      <w:divBdr>
        <w:top w:val="none" w:sz="0" w:space="0" w:color="auto"/>
        <w:left w:val="none" w:sz="0" w:space="0" w:color="auto"/>
        <w:bottom w:val="none" w:sz="0" w:space="0" w:color="auto"/>
        <w:right w:val="none" w:sz="0" w:space="0" w:color="auto"/>
      </w:divBdr>
    </w:div>
    <w:div w:id="987201059">
      <w:bodyDiv w:val="1"/>
      <w:marLeft w:val="0"/>
      <w:marRight w:val="0"/>
      <w:marTop w:val="0"/>
      <w:marBottom w:val="0"/>
      <w:divBdr>
        <w:top w:val="none" w:sz="0" w:space="0" w:color="auto"/>
        <w:left w:val="none" w:sz="0" w:space="0" w:color="auto"/>
        <w:bottom w:val="none" w:sz="0" w:space="0" w:color="auto"/>
        <w:right w:val="none" w:sz="0" w:space="0" w:color="auto"/>
      </w:divBdr>
    </w:div>
    <w:div w:id="995181900">
      <w:bodyDiv w:val="1"/>
      <w:marLeft w:val="0"/>
      <w:marRight w:val="0"/>
      <w:marTop w:val="0"/>
      <w:marBottom w:val="0"/>
      <w:divBdr>
        <w:top w:val="none" w:sz="0" w:space="0" w:color="auto"/>
        <w:left w:val="none" w:sz="0" w:space="0" w:color="auto"/>
        <w:bottom w:val="none" w:sz="0" w:space="0" w:color="auto"/>
        <w:right w:val="none" w:sz="0" w:space="0" w:color="auto"/>
      </w:divBdr>
    </w:div>
    <w:div w:id="996223667">
      <w:bodyDiv w:val="1"/>
      <w:marLeft w:val="0"/>
      <w:marRight w:val="0"/>
      <w:marTop w:val="0"/>
      <w:marBottom w:val="0"/>
      <w:divBdr>
        <w:top w:val="none" w:sz="0" w:space="0" w:color="auto"/>
        <w:left w:val="none" w:sz="0" w:space="0" w:color="auto"/>
        <w:bottom w:val="none" w:sz="0" w:space="0" w:color="auto"/>
        <w:right w:val="none" w:sz="0" w:space="0" w:color="auto"/>
      </w:divBdr>
    </w:div>
    <w:div w:id="1067075265">
      <w:bodyDiv w:val="1"/>
      <w:marLeft w:val="0"/>
      <w:marRight w:val="0"/>
      <w:marTop w:val="0"/>
      <w:marBottom w:val="0"/>
      <w:divBdr>
        <w:top w:val="none" w:sz="0" w:space="0" w:color="auto"/>
        <w:left w:val="none" w:sz="0" w:space="0" w:color="auto"/>
        <w:bottom w:val="none" w:sz="0" w:space="0" w:color="auto"/>
        <w:right w:val="none" w:sz="0" w:space="0" w:color="auto"/>
      </w:divBdr>
    </w:div>
    <w:div w:id="1068839706">
      <w:bodyDiv w:val="1"/>
      <w:marLeft w:val="0"/>
      <w:marRight w:val="0"/>
      <w:marTop w:val="0"/>
      <w:marBottom w:val="0"/>
      <w:divBdr>
        <w:top w:val="none" w:sz="0" w:space="0" w:color="auto"/>
        <w:left w:val="none" w:sz="0" w:space="0" w:color="auto"/>
        <w:bottom w:val="none" w:sz="0" w:space="0" w:color="auto"/>
        <w:right w:val="none" w:sz="0" w:space="0" w:color="auto"/>
      </w:divBdr>
    </w:div>
    <w:div w:id="1109744071">
      <w:bodyDiv w:val="1"/>
      <w:marLeft w:val="0"/>
      <w:marRight w:val="0"/>
      <w:marTop w:val="0"/>
      <w:marBottom w:val="0"/>
      <w:divBdr>
        <w:top w:val="none" w:sz="0" w:space="0" w:color="auto"/>
        <w:left w:val="none" w:sz="0" w:space="0" w:color="auto"/>
        <w:bottom w:val="none" w:sz="0" w:space="0" w:color="auto"/>
        <w:right w:val="none" w:sz="0" w:space="0" w:color="auto"/>
      </w:divBdr>
    </w:div>
    <w:div w:id="1116874559">
      <w:bodyDiv w:val="1"/>
      <w:marLeft w:val="0"/>
      <w:marRight w:val="0"/>
      <w:marTop w:val="0"/>
      <w:marBottom w:val="0"/>
      <w:divBdr>
        <w:top w:val="none" w:sz="0" w:space="0" w:color="auto"/>
        <w:left w:val="none" w:sz="0" w:space="0" w:color="auto"/>
        <w:bottom w:val="none" w:sz="0" w:space="0" w:color="auto"/>
        <w:right w:val="none" w:sz="0" w:space="0" w:color="auto"/>
      </w:divBdr>
    </w:div>
    <w:div w:id="1122043326">
      <w:bodyDiv w:val="1"/>
      <w:marLeft w:val="0"/>
      <w:marRight w:val="0"/>
      <w:marTop w:val="0"/>
      <w:marBottom w:val="0"/>
      <w:divBdr>
        <w:top w:val="none" w:sz="0" w:space="0" w:color="auto"/>
        <w:left w:val="none" w:sz="0" w:space="0" w:color="auto"/>
        <w:bottom w:val="none" w:sz="0" w:space="0" w:color="auto"/>
        <w:right w:val="none" w:sz="0" w:space="0" w:color="auto"/>
      </w:divBdr>
    </w:div>
    <w:div w:id="1239711689">
      <w:bodyDiv w:val="1"/>
      <w:marLeft w:val="0"/>
      <w:marRight w:val="0"/>
      <w:marTop w:val="0"/>
      <w:marBottom w:val="0"/>
      <w:divBdr>
        <w:top w:val="none" w:sz="0" w:space="0" w:color="auto"/>
        <w:left w:val="none" w:sz="0" w:space="0" w:color="auto"/>
        <w:bottom w:val="none" w:sz="0" w:space="0" w:color="auto"/>
        <w:right w:val="none" w:sz="0" w:space="0" w:color="auto"/>
      </w:divBdr>
    </w:div>
    <w:div w:id="1284994928">
      <w:bodyDiv w:val="1"/>
      <w:marLeft w:val="0"/>
      <w:marRight w:val="0"/>
      <w:marTop w:val="0"/>
      <w:marBottom w:val="0"/>
      <w:divBdr>
        <w:top w:val="none" w:sz="0" w:space="0" w:color="auto"/>
        <w:left w:val="none" w:sz="0" w:space="0" w:color="auto"/>
        <w:bottom w:val="none" w:sz="0" w:space="0" w:color="auto"/>
        <w:right w:val="none" w:sz="0" w:space="0" w:color="auto"/>
      </w:divBdr>
    </w:div>
    <w:div w:id="1299140979">
      <w:bodyDiv w:val="1"/>
      <w:marLeft w:val="0"/>
      <w:marRight w:val="0"/>
      <w:marTop w:val="0"/>
      <w:marBottom w:val="0"/>
      <w:divBdr>
        <w:top w:val="none" w:sz="0" w:space="0" w:color="auto"/>
        <w:left w:val="none" w:sz="0" w:space="0" w:color="auto"/>
        <w:bottom w:val="none" w:sz="0" w:space="0" w:color="auto"/>
        <w:right w:val="none" w:sz="0" w:space="0" w:color="auto"/>
      </w:divBdr>
    </w:div>
    <w:div w:id="1309019644">
      <w:bodyDiv w:val="1"/>
      <w:marLeft w:val="0"/>
      <w:marRight w:val="0"/>
      <w:marTop w:val="0"/>
      <w:marBottom w:val="0"/>
      <w:divBdr>
        <w:top w:val="none" w:sz="0" w:space="0" w:color="auto"/>
        <w:left w:val="none" w:sz="0" w:space="0" w:color="auto"/>
        <w:bottom w:val="none" w:sz="0" w:space="0" w:color="auto"/>
        <w:right w:val="none" w:sz="0" w:space="0" w:color="auto"/>
      </w:divBdr>
    </w:div>
    <w:div w:id="1374649291">
      <w:bodyDiv w:val="1"/>
      <w:marLeft w:val="0"/>
      <w:marRight w:val="0"/>
      <w:marTop w:val="0"/>
      <w:marBottom w:val="0"/>
      <w:divBdr>
        <w:top w:val="none" w:sz="0" w:space="0" w:color="auto"/>
        <w:left w:val="none" w:sz="0" w:space="0" w:color="auto"/>
        <w:bottom w:val="none" w:sz="0" w:space="0" w:color="auto"/>
        <w:right w:val="none" w:sz="0" w:space="0" w:color="auto"/>
      </w:divBdr>
    </w:div>
    <w:div w:id="1416980251">
      <w:bodyDiv w:val="1"/>
      <w:marLeft w:val="0"/>
      <w:marRight w:val="0"/>
      <w:marTop w:val="0"/>
      <w:marBottom w:val="0"/>
      <w:divBdr>
        <w:top w:val="none" w:sz="0" w:space="0" w:color="auto"/>
        <w:left w:val="none" w:sz="0" w:space="0" w:color="auto"/>
        <w:bottom w:val="none" w:sz="0" w:space="0" w:color="auto"/>
        <w:right w:val="none" w:sz="0" w:space="0" w:color="auto"/>
      </w:divBdr>
    </w:div>
    <w:div w:id="1448694558">
      <w:bodyDiv w:val="1"/>
      <w:marLeft w:val="0"/>
      <w:marRight w:val="0"/>
      <w:marTop w:val="0"/>
      <w:marBottom w:val="0"/>
      <w:divBdr>
        <w:top w:val="none" w:sz="0" w:space="0" w:color="auto"/>
        <w:left w:val="none" w:sz="0" w:space="0" w:color="auto"/>
        <w:bottom w:val="none" w:sz="0" w:space="0" w:color="auto"/>
        <w:right w:val="none" w:sz="0" w:space="0" w:color="auto"/>
      </w:divBdr>
    </w:div>
    <w:div w:id="1454640902">
      <w:bodyDiv w:val="1"/>
      <w:marLeft w:val="0"/>
      <w:marRight w:val="0"/>
      <w:marTop w:val="0"/>
      <w:marBottom w:val="0"/>
      <w:divBdr>
        <w:top w:val="none" w:sz="0" w:space="0" w:color="auto"/>
        <w:left w:val="none" w:sz="0" w:space="0" w:color="auto"/>
        <w:bottom w:val="none" w:sz="0" w:space="0" w:color="auto"/>
        <w:right w:val="none" w:sz="0" w:space="0" w:color="auto"/>
      </w:divBdr>
    </w:div>
    <w:div w:id="1572883006">
      <w:bodyDiv w:val="1"/>
      <w:marLeft w:val="0"/>
      <w:marRight w:val="0"/>
      <w:marTop w:val="0"/>
      <w:marBottom w:val="0"/>
      <w:divBdr>
        <w:top w:val="none" w:sz="0" w:space="0" w:color="auto"/>
        <w:left w:val="none" w:sz="0" w:space="0" w:color="auto"/>
        <w:bottom w:val="none" w:sz="0" w:space="0" w:color="auto"/>
        <w:right w:val="none" w:sz="0" w:space="0" w:color="auto"/>
      </w:divBdr>
    </w:div>
    <w:div w:id="1584025930">
      <w:bodyDiv w:val="1"/>
      <w:marLeft w:val="0"/>
      <w:marRight w:val="0"/>
      <w:marTop w:val="0"/>
      <w:marBottom w:val="0"/>
      <w:divBdr>
        <w:top w:val="none" w:sz="0" w:space="0" w:color="auto"/>
        <w:left w:val="none" w:sz="0" w:space="0" w:color="auto"/>
        <w:bottom w:val="none" w:sz="0" w:space="0" w:color="auto"/>
        <w:right w:val="none" w:sz="0" w:space="0" w:color="auto"/>
      </w:divBdr>
    </w:div>
    <w:div w:id="1640766488">
      <w:bodyDiv w:val="1"/>
      <w:marLeft w:val="0"/>
      <w:marRight w:val="0"/>
      <w:marTop w:val="0"/>
      <w:marBottom w:val="0"/>
      <w:divBdr>
        <w:top w:val="none" w:sz="0" w:space="0" w:color="auto"/>
        <w:left w:val="none" w:sz="0" w:space="0" w:color="auto"/>
        <w:bottom w:val="none" w:sz="0" w:space="0" w:color="auto"/>
        <w:right w:val="none" w:sz="0" w:space="0" w:color="auto"/>
      </w:divBdr>
    </w:div>
    <w:div w:id="1644390718">
      <w:bodyDiv w:val="1"/>
      <w:marLeft w:val="0"/>
      <w:marRight w:val="0"/>
      <w:marTop w:val="0"/>
      <w:marBottom w:val="0"/>
      <w:divBdr>
        <w:top w:val="none" w:sz="0" w:space="0" w:color="auto"/>
        <w:left w:val="none" w:sz="0" w:space="0" w:color="auto"/>
        <w:bottom w:val="none" w:sz="0" w:space="0" w:color="auto"/>
        <w:right w:val="none" w:sz="0" w:space="0" w:color="auto"/>
      </w:divBdr>
    </w:div>
    <w:div w:id="1690988670">
      <w:bodyDiv w:val="1"/>
      <w:marLeft w:val="0"/>
      <w:marRight w:val="0"/>
      <w:marTop w:val="0"/>
      <w:marBottom w:val="0"/>
      <w:divBdr>
        <w:top w:val="none" w:sz="0" w:space="0" w:color="auto"/>
        <w:left w:val="none" w:sz="0" w:space="0" w:color="auto"/>
        <w:bottom w:val="none" w:sz="0" w:space="0" w:color="auto"/>
        <w:right w:val="none" w:sz="0" w:space="0" w:color="auto"/>
      </w:divBdr>
    </w:div>
    <w:div w:id="1730685026">
      <w:bodyDiv w:val="1"/>
      <w:marLeft w:val="0"/>
      <w:marRight w:val="0"/>
      <w:marTop w:val="0"/>
      <w:marBottom w:val="0"/>
      <w:divBdr>
        <w:top w:val="none" w:sz="0" w:space="0" w:color="auto"/>
        <w:left w:val="none" w:sz="0" w:space="0" w:color="auto"/>
        <w:bottom w:val="none" w:sz="0" w:space="0" w:color="auto"/>
        <w:right w:val="none" w:sz="0" w:space="0" w:color="auto"/>
      </w:divBdr>
    </w:div>
    <w:div w:id="1800683686">
      <w:bodyDiv w:val="1"/>
      <w:marLeft w:val="0"/>
      <w:marRight w:val="0"/>
      <w:marTop w:val="0"/>
      <w:marBottom w:val="0"/>
      <w:divBdr>
        <w:top w:val="none" w:sz="0" w:space="0" w:color="auto"/>
        <w:left w:val="none" w:sz="0" w:space="0" w:color="auto"/>
        <w:bottom w:val="none" w:sz="0" w:space="0" w:color="auto"/>
        <w:right w:val="none" w:sz="0" w:space="0" w:color="auto"/>
      </w:divBdr>
    </w:div>
    <w:div w:id="1813673755">
      <w:bodyDiv w:val="1"/>
      <w:marLeft w:val="0"/>
      <w:marRight w:val="0"/>
      <w:marTop w:val="0"/>
      <w:marBottom w:val="0"/>
      <w:divBdr>
        <w:top w:val="none" w:sz="0" w:space="0" w:color="auto"/>
        <w:left w:val="none" w:sz="0" w:space="0" w:color="auto"/>
        <w:bottom w:val="none" w:sz="0" w:space="0" w:color="auto"/>
        <w:right w:val="none" w:sz="0" w:space="0" w:color="auto"/>
      </w:divBdr>
    </w:div>
    <w:div w:id="1831947923">
      <w:bodyDiv w:val="1"/>
      <w:marLeft w:val="0"/>
      <w:marRight w:val="0"/>
      <w:marTop w:val="0"/>
      <w:marBottom w:val="0"/>
      <w:divBdr>
        <w:top w:val="none" w:sz="0" w:space="0" w:color="auto"/>
        <w:left w:val="none" w:sz="0" w:space="0" w:color="auto"/>
        <w:bottom w:val="none" w:sz="0" w:space="0" w:color="auto"/>
        <w:right w:val="none" w:sz="0" w:space="0" w:color="auto"/>
      </w:divBdr>
    </w:div>
    <w:div w:id="1832982717">
      <w:bodyDiv w:val="1"/>
      <w:marLeft w:val="0"/>
      <w:marRight w:val="0"/>
      <w:marTop w:val="0"/>
      <w:marBottom w:val="0"/>
      <w:divBdr>
        <w:top w:val="none" w:sz="0" w:space="0" w:color="auto"/>
        <w:left w:val="none" w:sz="0" w:space="0" w:color="auto"/>
        <w:bottom w:val="none" w:sz="0" w:space="0" w:color="auto"/>
        <w:right w:val="none" w:sz="0" w:space="0" w:color="auto"/>
      </w:divBdr>
    </w:div>
    <w:div w:id="1850174633">
      <w:bodyDiv w:val="1"/>
      <w:marLeft w:val="0"/>
      <w:marRight w:val="0"/>
      <w:marTop w:val="0"/>
      <w:marBottom w:val="0"/>
      <w:divBdr>
        <w:top w:val="none" w:sz="0" w:space="0" w:color="auto"/>
        <w:left w:val="none" w:sz="0" w:space="0" w:color="auto"/>
        <w:bottom w:val="none" w:sz="0" w:space="0" w:color="auto"/>
        <w:right w:val="none" w:sz="0" w:space="0" w:color="auto"/>
      </w:divBdr>
    </w:div>
    <w:div w:id="1857188907">
      <w:bodyDiv w:val="1"/>
      <w:marLeft w:val="0"/>
      <w:marRight w:val="0"/>
      <w:marTop w:val="0"/>
      <w:marBottom w:val="0"/>
      <w:divBdr>
        <w:top w:val="none" w:sz="0" w:space="0" w:color="auto"/>
        <w:left w:val="none" w:sz="0" w:space="0" w:color="auto"/>
        <w:bottom w:val="none" w:sz="0" w:space="0" w:color="auto"/>
        <w:right w:val="none" w:sz="0" w:space="0" w:color="auto"/>
      </w:divBdr>
    </w:div>
    <w:div w:id="191669562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2054692312">
      <w:bodyDiv w:val="1"/>
      <w:marLeft w:val="0"/>
      <w:marRight w:val="0"/>
      <w:marTop w:val="0"/>
      <w:marBottom w:val="0"/>
      <w:divBdr>
        <w:top w:val="none" w:sz="0" w:space="0" w:color="auto"/>
        <w:left w:val="none" w:sz="0" w:space="0" w:color="auto"/>
        <w:bottom w:val="none" w:sz="0" w:space="0" w:color="auto"/>
        <w:right w:val="none" w:sz="0" w:space="0" w:color="auto"/>
      </w:divBdr>
    </w:div>
    <w:div w:id="2076732421">
      <w:bodyDiv w:val="1"/>
      <w:marLeft w:val="0"/>
      <w:marRight w:val="0"/>
      <w:marTop w:val="0"/>
      <w:marBottom w:val="0"/>
      <w:divBdr>
        <w:top w:val="none" w:sz="0" w:space="0" w:color="auto"/>
        <w:left w:val="none" w:sz="0" w:space="0" w:color="auto"/>
        <w:bottom w:val="none" w:sz="0" w:space="0" w:color="auto"/>
        <w:right w:val="none" w:sz="0" w:space="0" w:color="auto"/>
      </w:divBdr>
    </w:div>
    <w:div w:id="20898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anning@uel.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el.ac.uk/qa/extenuatio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de.campos@uel.ac.uk"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wh-staff1\Departments\D96\DATA\QAD\QA\QA%20-%20from%201.8.04\Extenuation\14-15\Report\Extenuation%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h-staff1\Departments\D96\DATA\QAD\QA\QA%20-%20from%201.8.04\Extenuation\14-15\Report\Extenuation%20Sta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7032658069447"/>
          <c:y val="3.7037037037037035E-2"/>
          <c:w val="0.86523390458545624"/>
          <c:h val="0.74350320793234181"/>
        </c:manualLayout>
      </c:layout>
      <c:barChart>
        <c:barDir val="col"/>
        <c:grouping val="clustered"/>
        <c:varyColors val="0"/>
        <c:ser>
          <c:idx val="0"/>
          <c:order val="0"/>
          <c:tx>
            <c:strRef>
              <c:f>Graphs!$A$31</c:f>
              <c:strCache>
                <c:ptCount val="1"/>
                <c:pt idx="0">
                  <c:v>Number of Claims made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Graphs!$A$32:$A$41</c:f>
              <c:strCache>
                <c:ptCount val="10"/>
                <c:pt idx="0">
                  <c:v>2005/6</c:v>
                </c:pt>
                <c:pt idx="1">
                  <c:v>2006/7</c:v>
                </c:pt>
                <c:pt idx="2">
                  <c:v>2007/8</c:v>
                </c:pt>
                <c:pt idx="3">
                  <c:v>2008/9</c:v>
                </c:pt>
                <c:pt idx="4">
                  <c:v>2009/10</c:v>
                </c:pt>
                <c:pt idx="5">
                  <c:v>2010/11</c:v>
                </c:pt>
                <c:pt idx="6">
                  <c:v>2011/12</c:v>
                </c:pt>
                <c:pt idx="7">
                  <c:v>2012/13</c:v>
                </c:pt>
                <c:pt idx="8">
                  <c:v>2013/14</c:v>
                </c:pt>
                <c:pt idx="9">
                  <c:v>2014/15</c:v>
                </c:pt>
              </c:strCache>
            </c:strRef>
          </c:cat>
          <c:val>
            <c:numRef>
              <c:f>Graphs!$C$32:$C$41</c:f>
              <c:numCache>
                <c:formatCode>General</c:formatCode>
                <c:ptCount val="10"/>
                <c:pt idx="0">
                  <c:v>1499</c:v>
                </c:pt>
                <c:pt idx="1">
                  <c:v>1595</c:v>
                </c:pt>
                <c:pt idx="2">
                  <c:v>1810</c:v>
                </c:pt>
                <c:pt idx="3">
                  <c:v>1788</c:v>
                </c:pt>
                <c:pt idx="4">
                  <c:v>2326</c:v>
                </c:pt>
                <c:pt idx="5">
                  <c:v>2118</c:v>
                </c:pt>
                <c:pt idx="6">
                  <c:v>1838</c:v>
                </c:pt>
                <c:pt idx="7">
                  <c:v>1847</c:v>
                </c:pt>
                <c:pt idx="8">
                  <c:v>1900</c:v>
                </c:pt>
                <c:pt idx="9">
                  <c:v>1678</c:v>
                </c:pt>
              </c:numCache>
            </c:numRef>
          </c:val>
        </c:ser>
        <c:dLbls>
          <c:dLblPos val="outEnd"/>
          <c:showLegendKey val="0"/>
          <c:showVal val="1"/>
          <c:showCatName val="0"/>
          <c:showSerName val="0"/>
          <c:showPercent val="0"/>
          <c:showBubbleSize val="0"/>
        </c:dLbls>
        <c:gapWidth val="219"/>
        <c:overlap val="-27"/>
        <c:axId val="322033776"/>
        <c:axId val="322034168"/>
      </c:barChart>
      <c:catAx>
        <c:axId val="322033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Academic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34168"/>
        <c:crosses val="autoZero"/>
        <c:auto val="1"/>
        <c:lblAlgn val="ctr"/>
        <c:lblOffset val="100"/>
        <c:noMultiLvlLbl val="0"/>
      </c:catAx>
      <c:valAx>
        <c:axId val="322034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Claims Made</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3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 claims accepted annual comparison</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Graphs!$A$64</c:f>
              <c:strCache>
                <c:ptCount val="1"/>
                <c:pt idx="0">
                  <c:v>% of claims accepted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Graphs!$A$65:$A$74</c:f>
              <c:strCache>
                <c:ptCount val="10"/>
                <c:pt idx="0">
                  <c:v>2005/6</c:v>
                </c:pt>
                <c:pt idx="1">
                  <c:v>2006/7</c:v>
                </c:pt>
                <c:pt idx="2">
                  <c:v>2007/8</c:v>
                </c:pt>
                <c:pt idx="3">
                  <c:v>2008/9</c:v>
                </c:pt>
                <c:pt idx="4">
                  <c:v>2009/10</c:v>
                </c:pt>
                <c:pt idx="5">
                  <c:v>2010/11</c:v>
                </c:pt>
                <c:pt idx="6">
                  <c:v>2011/12</c:v>
                </c:pt>
                <c:pt idx="7">
                  <c:v>2012/13</c:v>
                </c:pt>
                <c:pt idx="8">
                  <c:v>2013/14</c:v>
                </c:pt>
                <c:pt idx="9">
                  <c:v>2014/15</c:v>
                </c:pt>
              </c:strCache>
            </c:strRef>
          </c:cat>
          <c:val>
            <c:numRef>
              <c:f>Graphs!$C$65:$C$74</c:f>
              <c:numCache>
                <c:formatCode>General</c:formatCode>
                <c:ptCount val="10"/>
                <c:pt idx="0">
                  <c:v>50</c:v>
                </c:pt>
                <c:pt idx="1">
                  <c:v>52</c:v>
                </c:pt>
                <c:pt idx="2">
                  <c:v>59</c:v>
                </c:pt>
                <c:pt idx="3">
                  <c:v>61</c:v>
                </c:pt>
                <c:pt idx="4">
                  <c:v>62</c:v>
                </c:pt>
                <c:pt idx="5">
                  <c:v>55</c:v>
                </c:pt>
                <c:pt idx="6">
                  <c:v>60</c:v>
                </c:pt>
                <c:pt idx="7">
                  <c:v>59</c:v>
                </c:pt>
                <c:pt idx="8">
                  <c:v>58</c:v>
                </c:pt>
                <c:pt idx="9" formatCode="0">
                  <c:v>57.56853396901073</c:v>
                </c:pt>
              </c:numCache>
            </c:numRef>
          </c:val>
        </c:ser>
        <c:dLbls>
          <c:dLblPos val="outEnd"/>
          <c:showLegendKey val="0"/>
          <c:showVal val="1"/>
          <c:showCatName val="0"/>
          <c:showSerName val="0"/>
          <c:showPercent val="0"/>
          <c:showBubbleSize val="0"/>
        </c:dLbls>
        <c:gapWidth val="219"/>
        <c:overlap val="-27"/>
        <c:axId val="322035344"/>
        <c:axId val="322035736"/>
      </c:barChart>
      <c:catAx>
        <c:axId val="32203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Academic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35736"/>
        <c:crosses val="autoZero"/>
        <c:auto val="1"/>
        <c:lblAlgn val="ctr"/>
        <c:lblOffset val="100"/>
        <c:noMultiLvlLbl val="0"/>
      </c:catAx>
      <c:valAx>
        <c:axId val="322035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3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Amy1</dc:creator>
  <cp:keywords/>
  <dc:description/>
  <cp:lastModifiedBy>Emma Livingstone</cp:lastModifiedBy>
  <cp:revision>4</cp:revision>
  <cp:lastPrinted>2015-10-20T14:26:00Z</cp:lastPrinted>
  <dcterms:created xsi:type="dcterms:W3CDTF">2015-11-03T10:05:00Z</dcterms:created>
  <dcterms:modified xsi:type="dcterms:W3CDTF">2016-11-10T15:46:00Z</dcterms:modified>
</cp:coreProperties>
</file>